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11698" w14:textId="77777777" w:rsidR="00B35A20" w:rsidRPr="00B35A20" w:rsidRDefault="00B35A20" w:rsidP="00B35A2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B35A20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7D7C8CB2" w14:textId="77777777" w:rsidR="00B35A20" w:rsidRPr="00B35A20" w:rsidRDefault="00B35A20" w:rsidP="00B35A2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</w:pPr>
      <w:r w:rsidRPr="00B35A2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Konkursa “</w:t>
      </w:r>
      <w:bookmarkStart w:id="0" w:name="_Hlk74320066"/>
      <w:r w:rsidRPr="00B35A20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 xml:space="preserve">Pārvades gāzesvadu “Rīga – Inčukalna PGK I un II līnija” tehniskā </w:t>
      </w:r>
    </w:p>
    <w:p w14:paraId="2E2E93CF" w14:textId="77777777" w:rsidR="00B35A20" w:rsidRPr="00B35A20" w:rsidRDefault="00B35A20" w:rsidP="00B35A2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B35A20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>stāvokļa izvērtēšana un pasākumi to ekspluatācijas drošības paaugstināšanai</w:t>
      </w:r>
      <w:bookmarkEnd w:id="0"/>
      <w:r w:rsidRPr="00B35A2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B35A20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4BE92B83" w14:textId="77777777" w:rsidR="00B35A20" w:rsidRPr="00B35A20" w:rsidRDefault="00B35A20" w:rsidP="00B35A2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B35A2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B35A20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PRO-2021/158)</w:t>
      </w:r>
    </w:p>
    <w:p w14:paraId="4B372D16" w14:textId="77777777" w:rsidR="00B35A20" w:rsidRPr="00B35A20" w:rsidRDefault="00B35A20" w:rsidP="00B35A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EC97F6F" w14:textId="77777777" w:rsidR="00B35A20" w:rsidRPr="00B35A20" w:rsidRDefault="00B35A20" w:rsidP="00B35A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32A8204" w14:textId="77777777" w:rsidR="00B35A20" w:rsidRPr="00B35A20" w:rsidRDefault="00B35A20" w:rsidP="00B35A20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B35A20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 xml:space="preserve">FINANŠU PIEDĀVĀJUMs (FORMA) </w:t>
      </w:r>
    </w:p>
    <w:p w14:paraId="00CAB23E" w14:textId="77777777" w:rsidR="00B35A20" w:rsidRPr="00B35A20" w:rsidRDefault="00B35A20" w:rsidP="00B35A20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B35A20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Konkursā „</w:t>
      </w:r>
      <w:r w:rsidRPr="00B35A20">
        <w:rPr>
          <w:rFonts w:ascii="Times New Roman" w:eastAsia="Times New Roman" w:hAnsi="Times New Roman" w:cs="Times New Roman"/>
          <w:bCs/>
          <w:i/>
          <w:sz w:val="20"/>
          <w:szCs w:val="20"/>
          <w:lang w:val="lv-LV"/>
        </w:rPr>
        <w:t xml:space="preserve"> </w:t>
      </w:r>
      <w:r w:rsidRPr="00B35A20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Pārvades gāzesvadu “Rīga – Inčukalna PGK I un II līnija” tehniskā stāvokļa izvērtēšana un pasākumi to ekspluatācijas drošības paaugstināšanai”, ID nr. PRO-2021/158, paredzētos Darbus par šādām izmaksām:</w:t>
      </w:r>
    </w:p>
    <w:p w14:paraId="7B249F61" w14:textId="77777777" w:rsidR="00B35A20" w:rsidRPr="00B35A20" w:rsidRDefault="00B35A20" w:rsidP="00B35A20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4"/>
          <w:szCs w:val="4"/>
          <w:lang w:val="lv-LV"/>
        </w:rPr>
      </w:pPr>
    </w:p>
    <w:p w14:paraId="4703488C" w14:textId="77777777" w:rsidR="00B35A20" w:rsidRPr="00B35A20" w:rsidRDefault="00B35A20" w:rsidP="00B35A20">
      <w:pPr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I DAĻA</w:t>
      </w:r>
    </w:p>
    <w:p w14:paraId="6402EF0F" w14:textId="77777777" w:rsidR="00B35A20" w:rsidRPr="00B35A20" w:rsidRDefault="00B35A20" w:rsidP="00B35A20">
      <w:p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Pārvades gāzesvada “Rīga - Inčukalna PGK-I” tehniskā stāvokļa izvērtēšana un</w:t>
      </w:r>
      <w:r w:rsidRPr="00B35A2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 pasākumi ekspluatācijas drošības paaugstināšanai </w:t>
      </w:r>
    </w:p>
    <w:p w14:paraId="5F9A083C" w14:textId="77777777" w:rsidR="00B35A20" w:rsidRPr="00B35A20" w:rsidRDefault="00B35A20" w:rsidP="00B35A20">
      <w:p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0"/>
        <w:gridCol w:w="1260"/>
        <w:gridCol w:w="1257"/>
        <w:gridCol w:w="1866"/>
      </w:tblGrid>
      <w:tr w:rsidR="00B35A20" w:rsidRPr="00B35A20" w14:paraId="49B0698F" w14:textId="77777777" w:rsidTr="00B35A20">
        <w:tc>
          <w:tcPr>
            <w:tcW w:w="5710" w:type="dxa"/>
            <w:vMerge w:val="restart"/>
            <w:shd w:val="clear" w:color="auto" w:fill="D9D9D9"/>
            <w:vAlign w:val="center"/>
          </w:tcPr>
          <w:p w14:paraId="333AD451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Līguma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darbu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un </w:t>
            </w:r>
          </w:p>
          <w:p w14:paraId="72EFFE31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tā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izpildes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pamata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posmu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nosaukums</w:t>
            </w:r>
            <w:proofErr w:type="spellEnd"/>
          </w:p>
        </w:tc>
        <w:tc>
          <w:tcPr>
            <w:tcW w:w="2517" w:type="dxa"/>
            <w:gridSpan w:val="2"/>
            <w:shd w:val="clear" w:color="auto" w:fill="D9D9D9"/>
            <w:vAlign w:val="center"/>
          </w:tcPr>
          <w:p w14:paraId="7BF784AD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Posma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aprēķinātā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cena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,</w:t>
            </w:r>
            <w:r w:rsidRPr="00B35A20">
              <w:rPr>
                <w:rFonts w:ascii="Times New Roman" w:eastAsia="Times New Roman" w:hAnsi="Times New Roman" w:cs="Times New Roman"/>
                <w:b/>
                <w:bCs/>
                <w:spacing w:val="-4"/>
                <w:lang w:val="en-GB"/>
              </w:rPr>
              <w:t xml:space="preserve"> EUR</w:t>
            </w:r>
          </w:p>
        </w:tc>
        <w:tc>
          <w:tcPr>
            <w:tcW w:w="1866" w:type="dxa"/>
            <w:vMerge w:val="restart"/>
            <w:shd w:val="clear" w:color="auto" w:fill="D9D9D9"/>
          </w:tcPr>
          <w:p w14:paraId="61A9C9D2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Izpildes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termiņš</w:t>
            </w:r>
            <w:proofErr w:type="spellEnd"/>
          </w:p>
        </w:tc>
      </w:tr>
      <w:tr w:rsidR="00B35A20" w:rsidRPr="00B35A20" w14:paraId="4150E548" w14:textId="77777777" w:rsidTr="00B35A20">
        <w:tc>
          <w:tcPr>
            <w:tcW w:w="57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CE7ED9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E513E2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  <w:t>Par vienību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38C921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  <w:t>Kopā</w:t>
            </w:r>
          </w:p>
        </w:tc>
        <w:tc>
          <w:tcPr>
            <w:tcW w:w="1866" w:type="dxa"/>
            <w:vMerge/>
            <w:tcBorders>
              <w:bottom w:val="single" w:sz="4" w:space="0" w:color="auto"/>
            </w:tcBorders>
          </w:tcPr>
          <w:p w14:paraId="2788AC90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lv-LV"/>
              </w:rPr>
            </w:pPr>
          </w:p>
        </w:tc>
      </w:tr>
      <w:tr w:rsidR="00B35A20" w:rsidRPr="00B35A20" w14:paraId="6CC46230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D43F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1.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Tehniskais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pārskats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par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iekšējās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diagnostikas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rezultātiem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un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defektu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apsekošanas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programmas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34D9A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E92E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227A8D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30 dienu laikā pēc līguma noslēgšanas</w:t>
            </w:r>
          </w:p>
        </w:tc>
      </w:tr>
      <w:tr w:rsidR="00B35A20" w:rsidRPr="00B35A20" w14:paraId="693A802C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7CC04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2. 2015.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gram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un 2021</w:t>
            </w:r>
            <w:proofErr w:type="gram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diagnostiku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datu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salīdzināšana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un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atzinuma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A839A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79618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C5E6F7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</w:p>
        </w:tc>
      </w:tr>
      <w:tr w:rsidR="00B35A20" w:rsidRPr="00B35A20" w14:paraId="2486A271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0E26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3.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Tehniskais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pārskats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par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korozijas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stāvokli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ar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izolācijas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atjaunošanas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programmas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un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posmu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nomaiņas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programmas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izstrādāšanu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8C71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B8D37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55395F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60 dienu laikā pēc līguma noslēgšanas</w:t>
            </w:r>
          </w:p>
        </w:tc>
      </w:tr>
      <w:tr w:rsidR="00B35A20" w:rsidRPr="00B35A20" w14:paraId="528D9C68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93FA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4.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Metāla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paraugu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īpašību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noteikšana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3D03C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75A6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6631B5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līdz tehnisko risinājumu izstrādāšanai</w:t>
            </w:r>
          </w:p>
        </w:tc>
      </w:tr>
      <w:tr w:rsidR="00B35A20" w:rsidRPr="00B35A20" w:rsidDel="00761DB6" w14:paraId="42E22B45" w14:textId="77777777" w:rsidTr="00191F71">
        <w:trPr>
          <w:trHeight w:val="514"/>
        </w:trPr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2FB4" w14:textId="77777777" w:rsidR="00B35A20" w:rsidRPr="00B35A20" w:rsidDel="00761DB6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5.Tehnisko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risinājumu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(50 gab.),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pamatojoties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uz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defektu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apsekošanas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rezultātiem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D1C6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7A69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40F41F" w14:textId="77777777" w:rsidR="00B35A20" w:rsidRPr="00B35A20" w:rsidDel="00761DB6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līdz 15.12.2022., atbilstoši tehniskās specifikācijas p.2.4.</w:t>
            </w:r>
          </w:p>
        </w:tc>
      </w:tr>
      <w:tr w:rsidR="00B35A20" w:rsidRPr="00B35A20" w14:paraId="0043BC88" w14:textId="77777777" w:rsidTr="00191F71">
        <w:trPr>
          <w:trHeight w:val="422"/>
        </w:trPr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C004" w14:textId="77777777" w:rsidR="00B35A20" w:rsidRPr="00B35A20" w:rsidRDefault="00B35A20" w:rsidP="00B35A20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6.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Tehniskais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slēdziens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drošai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ekspluatācijai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645E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0615C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D3DFF5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līdz 15.12.2022</w:t>
            </w:r>
          </w:p>
        </w:tc>
      </w:tr>
      <w:tr w:rsidR="00B35A20" w:rsidRPr="00B35A20" w14:paraId="5705C92D" w14:textId="77777777" w:rsidTr="00191F71">
        <w:trPr>
          <w:trHeight w:val="422"/>
        </w:trPr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470EB" w14:textId="77777777" w:rsidR="00B35A20" w:rsidRPr="00B35A20" w:rsidRDefault="00B35A20" w:rsidP="00B35A20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lang w:val="en-GB"/>
              </w:rPr>
              <w:t>PIEDĀVĀJUMA CENA, EUR bez PVN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B419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0B4F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4CA293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lv-LV"/>
              </w:rPr>
            </w:pPr>
          </w:p>
        </w:tc>
      </w:tr>
    </w:tbl>
    <w:p w14:paraId="1403B325" w14:textId="77777777" w:rsidR="00B35A20" w:rsidRPr="00B35A20" w:rsidRDefault="00B35A20" w:rsidP="00B35A20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6CFC4637" w14:textId="77777777" w:rsidR="00B35A20" w:rsidRPr="00B35A20" w:rsidRDefault="00B35A20" w:rsidP="00B35A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251E9987" w14:textId="77777777" w:rsidR="00B35A20" w:rsidRPr="00B35A20" w:rsidRDefault="00B35A20" w:rsidP="00B35A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21F4991A" w14:textId="77777777" w:rsidR="00B35A20" w:rsidRPr="00B35A20" w:rsidRDefault="00B35A20" w:rsidP="00B35A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79C0A82F" w14:textId="77777777" w:rsidR="00B35A20" w:rsidRPr="00B35A20" w:rsidRDefault="00B35A20" w:rsidP="00B35A2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lastRenderedPageBreak/>
        <w:t>II DAĻA</w:t>
      </w:r>
    </w:p>
    <w:p w14:paraId="6F011CB7" w14:textId="77777777" w:rsidR="00B35A20" w:rsidRPr="00B35A20" w:rsidRDefault="00B35A20" w:rsidP="00B35A20">
      <w:p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Pārvades gāzesvada “Rīga - Inčukalna PGK-II” tehniskā stāvokļa izvērtēšana un</w:t>
      </w:r>
      <w:r w:rsidRPr="00B35A2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 pasākumi ekspluatācijas drošības paaugstināšanai </w:t>
      </w:r>
    </w:p>
    <w:p w14:paraId="18B78C3F" w14:textId="77777777" w:rsidR="00B35A20" w:rsidRPr="00B35A20" w:rsidRDefault="00B35A20" w:rsidP="00B35A20">
      <w:p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5"/>
        <w:gridCol w:w="1272"/>
        <w:gridCol w:w="1275"/>
        <w:gridCol w:w="1701"/>
      </w:tblGrid>
      <w:tr w:rsidR="00B35A20" w:rsidRPr="00B35A20" w14:paraId="5DB847EA" w14:textId="77777777" w:rsidTr="00B35A20">
        <w:tc>
          <w:tcPr>
            <w:tcW w:w="5845" w:type="dxa"/>
            <w:vMerge w:val="restart"/>
            <w:shd w:val="clear" w:color="auto" w:fill="D9D9D9"/>
            <w:vAlign w:val="center"/>
          </w:tcPr>
          <w:p w14:paraId="548C18CA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lang w:val="lv-LV"/>
              </w:rPr>
              <w:t xml:space="preserve">Līguma darbu un </w:t>
            </w:r>
          </w:p>
          <w:p w14:paraId="1D9FD74D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lang w:val="lv-LV"/>
              </w:rPr>
              <w:t>tā izpildes pamata posmu nosaukums</w:t>
            </w:r>
          </w:p>
        </w:tc>
        <w:tc>
          <w:tcPr>
            <w:tcW w:w="2547" w:type="dxa"/>
            <w:gridSpan w:val="2"/>
            <w:shd w:val="clear" w:color="auto" w:fill="D9D9D9"/>
            <w:vAlign w:val="center"/>
          </w:tcPr>
          <w:p w14:paraId="18135741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lang w:val="lv-LV"/>
              </w:rPr>
              <w:t>Posma aprēķinātā cena,</w:t>
            </w:r>
            <w:r w:rsidRPr="00B35A20">
              <w:rPr>
                <w:rFonts w:ascii="Times New Roman" w:eastAsia="Times New Roman" w:hAnsi="Times New Roman" w:cs="Times New Roman"/>
                <w:b/>
                <w:bCs/>
                <w:spacing w:val="-4"/>
                <w:lang w:val="lv-LV"/>
              </w:rPr>
              <w:t xml:space="preserve"> EUR</w:t>
            </w:r>
          </w:p>
        </w:tc>
        <w:tc>
          <w:tcPr>
            <w:tcW w:w="1701" w:type="dxa"/>
            <w:vMerge w:val="restart"/>
            <w:shd w:val="clear" w:color="auto" w:fill="D9D9D9"/>
          </w:tcPr>
          <w:p w14:paraId="39070785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lang w:val="lv-LV"/>
              </w:rPr>
              <w:t>Izpildes termiņš</w:t>
            </w:r>
          </w:p>
        </w:tc>
      </w:tr>
      <w:tr w:rsidR="00B35A20" w:rsidRPr="00B35A20" w14:paraId="42C9955E" w14:textId="77777777" w:rsidTr="00B35A20">
        <w:tc>
          <w:tcPr>
            <w:tcW w:w="584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1ABCA9B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8853AE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lang w:val="lv-LV"/>
              </w:rPr>
              <w:t>Par vienību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FF1CF8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lang w:val="lv-LV"/>
              </w:rPr>
              <w:t>Kopā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24073002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val="lv-LV"/>
              </w:rPr>
            </w:pPr>
          </w:p>
        </w:tc>
      </w:tr>
      <w:tr w:rsidR="00B35A20" w:rsidRPr="00B35A20" w14:paraId="5DB8A6BD" w14:textId="77777777" w:rsidTr="00191F71"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40C6B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1. Tehniskais pārskats par gāzesvada iekšējās diagnostikas rezultātiem un gāzesvada defektu apsekošanas programmas izstrādāšana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3378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C7130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0F1C2D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30 dienu laikā pēc līguma noslēgšanas</w:t>
            </w:r>
          </w:p>
        </w:tc>
      </w:tr>
      <w:tr w:rsidR="00B35A20" w:rsidRPr="00B35A20" w14:paraId="35201F36" w14:textId="77777777" w:rsidTr="00191F71"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89F0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2. 2015. gada un 2021. gada diagnostiku datu salīdzināšana un atzinuma izstrādāšana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7788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70D9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3129DE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lv-LV"/>
              </w:rPr>
            </w:pPr>
          </w:p>
        </w:tc>
      </w:tr>
      <w:tr w:rsidR="00B35A20" w:rsidRPr="00B35A20" w14:paraId="54F2867A" w14:textId="77777777" w:rsidTr="00191F71"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344F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3. Tehniskais pārskats par gāzesvada korozijas stāvokli ar izolācijas atjaunošanas programmas un posmu nomaiņas programmas izstrādāšanu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7E70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049F4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C2097A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60 dienu laikā pēc līguma noslēgšanas</w:t>
            </w:r>
          </w:p>
        </w:tc>
      </w:tr>
      <w:tr w:rsidR="00B35A20" w:rsidRPr="00B35A20" w14:paraId="31A53ABF" w14:textId="77777777" w:rsidTr="00191F71"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DEB81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4. Metāla paraugu īpašību noteikšana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0B75D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C3C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FE8E49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līdz tehnisko risinājumu izstrādāšanai</w:t>
            </w:r>
          </w:p>
        </w:tc>
      </w:tr>
      <w:tr w:rsidR="00B35A20" w:rsidRPr="00B35A20" w:rsidDel="00761DB6" w14:paraId="283A8725" w14:textId="77777777" w:rsidTr="00191F71">
        <w:trPr>
          <w:trHeight w:val="514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7C04" w14:textId="77777777" w:rsidR="00B35A20" w:rsidRPr="00B35A20" w:rsidDel="00761DB6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5.Tehnisko risinājumu izstrādāšana (50 gab.), pamatojoties uz gāzesvada defektu apsekošanas rezultātiem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7BFE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B79C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36AA93" w14:textId="77777777" w:rsidR="00B35A20" w:rsidRPr="00B35A20" w:rsidDel="00761DB6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līdz 15.12.2022., atbilstoši tehniskās specifikācijas p.2.4.</w:t>
            </w:r>
          </w:p>
        </w:tc>
      </w:tr>
      <w:tr w:rsidR="00B35A20" w:rsidRPr="00B35A20" w14:paraId="4FDE9B7D" w14:textId="77777777" w:rsidTr="00191F71">
        <w:trPr>
          <w:trHeight w:val="422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63B1" w14:textId="77777777" w:rsidR="00B35A20" w:rsidRPr="00B35A20" w:rsidRDefault="00B35A20" w:rsidP="00B35A20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6. Tehniskais slēdziens gāzesvada drošai ekspluatācijai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0618E" w14:textId="77777777" w:rsidR="00B35A20" w:rsidRPr="00B35A20" w:rsidRDefault="00B35A20" w:rsidP="00B35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B5FC7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060AF1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lang w:val="lv-LV"/>
              </w:rPr>
              <w:t>līdz 15.12.2022.</w:t>
            </w:r>
          </w:p>
        </w:tc>
      </w:tr>
      <w:tr w:rsidR="00B35A20" w:rsidRPr="00B35A20" w14:paraId="583CB7F6" w14:textId="77777777" w:rsidTr="00191F71">
        <w:trPr>
          <w:trHeight w:val="422"/>
        </w:trPr>
        <w:tc>
          <w:tcPr>
            <w:tcW w:w="5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FDF61" w14:textId="77777777" w:rsidR="00B35A20" w:rsidRPr="00B35A20" w:rsidRDefault="00B35A20" w:rsidP="00B35A20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lang w:val="lv-LV"/>
              </w:rPr>
              <w:t>PIEDĀVĀJUMA CENA, EUR bez PVN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96554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203B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53AB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lv-LV"/>
              </w:rPr>
            </w:pPr>
          </w:p>
        </w:tc>
      </w:tr>
    </w:tbl>
    <w:p w14:paraId="2C6A4756" w14:textId="77777777" w:rsidR="00B35A20" w:rsidRPr="00B35A20" w:rsidRDefault="00B35A20" w:rsidP="00B35A2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43F8876" w14:textId="77777777" w:rsidR="00B35A20" w:rsidRPr="00B35A20" w:rsidRDefault="00B35A20" w:rsidP="00B35A20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1462BEA8" w14:textId="77777777" w:rsidR="00B35A20" w:rsidRPr="00B35A20" w:rsidRDefault="00B35A20" w:rsidP="00B35A2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B38F7D1" w14:textId="77777777" w:rsidR="00B35A20" w:rsidRPr="00B35A20" w:rsidRDefault="00B35A20" w:rsidP="00B35A2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387DD06" w14:textId="77777777" w:rsidR="00B35A20" w:rsidRPr="00B35A20" w:rsidRDefault="00B35A20" w:rsidP="00B35A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br w:type="page"/>
      </w:r>
    </w:p>
    <w:p w14:paraId="4E370FB0" w14:textId="77777777" w:rsidR="00B35A20" w:rsidRPr="00B35A20" w:rsidRDefault="00B35A20" w:rsidP="00B35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lastRenderedPageBreak/>
        <w:t>III KOPĒJAIS PIEDĀVĀJUMS</w:t>
      </w:r>
    </w:p>
    <w:p w14:paraId="3161AAFB" w14:textId="77777777" w:rsidR="00B35A20" w:rsidRPr="00B35A20" w:rsidRDefault="00B35A20" w:rsidP="00B35A2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(</w:t>
      </w:r>
      <w:proofErr w:type="gram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par</w:t>
      </w:r>
      <w:proofErr w:type="gram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I un II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daļu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)</w:t>
      </w:r>
    </w:p>
    <w:p w14:paraId="0AE92312" w14:textId="77777777" w:rsidR="00B35A20" w:rsidRPr="00B35A20" w:rsidRDefault="00B35A20" w:rsidP="00B35A2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PIEZĪME: Pretendents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sagatavo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un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iesniedz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gadījumā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ja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predz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izdevīgāku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piedāvājumu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par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katrā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atsevišķi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norādītājām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līgumcenām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pie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nosacījuma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ka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līguma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slēgšanas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tiesības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tiktu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piešķirtas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abas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iepirkuma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daļās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nevis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katrā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atsevišķi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Sagatavojot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kopējo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piedāvājumu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(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kopā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par I un II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daļu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),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Pretendentam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jāpiemēro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visas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Nolikuma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prasības</w:t>
      </w:r>
      <w:proofErr w:type="spellEnd"/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.</w:t>
      </w:r>
    </w:p>
    <w:tbl>
      <w:tblPr>
        <w:tblW w:w="100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0"/>
        <w:gridCol w:w="1260"/>
        <w:gridCol w:w="1257"/>
        <w:gridCol w:w="1866"/>
      </w:tblGrid>
      <w:tr w:rsidR="00B35A20" w:rsidRPr="00B35A20" w14:paraId="282F93F9" w14:textId="77777777" w:rsidTr="00B35A20">
        <w:tc>
          <w:tcPr>
            <w:tcW w:w="5710" w:type="dxa"/>
            <w:vMerge w:val="restart"/>
            <w:shd w:val="clear" w:color="auto" w:fill="D9D9D9"/>
            <w:vAlign w:val="center"/>
          </w:tcPr>
          <w:p w14:paraId="2CF332BF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Līguma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darbu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un </w:t>
            </w:r>
          </w:p>
          <w:p w14:paraId="08EE8EA0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tā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izpildes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pamata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posmu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nosaukums</w:t>
            </w:r>
            <w:proofErr w:type="spellEnd"/>
          </w:p>
        </w:tc>
        <w:tc>
          <w:tcPr>
            <w:tcW w:w="2517" w:type="dxa"/>
            <w:gridSpan w:val="2"/>
            <w:shd w:val="clear" w:color="auto" w:fill="D9D9D9"/>
            <w:vAlign w:val="center"/>
          </w:tcPr>
          <w:p w14:paraId="42E23D4F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Posma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aprēķinātā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cena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,</w:t>
            </w:r>
            <w:r w:rsidRPr="00B35A20">
              <w:rPr>
                <w:rFonts w:ascii="Times New Roman" w:eastAsia="Times New Roman" w:hAnsi="Times New Roman" w:cs="Times New Roman"/>
                <w:b/>
                <w:bCs/>
                <w:spacing w:val="-4"/>
                <w:lang w:val="en-GB"/>
              </w:rPr>
              <w:t xml:space="preserve"> EUR</w:t>
            </w:r>
          </w:p>
        </w:tc>
        <w:tc>
          <w:tcPr>
            <w:tcW w:w="1866" w:type="dxa"/>
            <w:vMerge w:val="restart"/>
            <w:shd w:val="clear" w:color="auto" w:fill="D9D9D9"/>
          </w:tcPr>
          <w:p w14:paraId="7C56C77A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val="en-GB"/>
              </w:rPr>
            </w:pP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Izpildes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termiņš</w:t>
            </w:r>
            <w:proofErr w:type="spellEnd"/>
          </w:p>
        </w:tc>
      </w:tr>
      <w:tr w:rsidR="00B35A20" w:rsidRPr="00B35A20" w14:paraId="05D858DF" w14:textId="77777777" w:rsidTr="00B35A20">
        <w:tc>
          <w:tcPr>
            <w:tcW w:w="57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44C8CA7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BCAA4D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  <w:t>Par vienību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DE1853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bCs/>
                <w:iCs/>
                <w:lang w:val="lv-LV"/>
              </w:rPr>
              <w:t>Kopā</w:t>
            </w:r>
          </w:p>
        </w:tc>
        <w:tc>
          <w:tcPr>
            <w:tcW w:w="1866" w:type="dxa"/>
            <w:vMerge/>
            <w:tcBorders>
              <w:bottom w:val="single" w:sz="4" w:space="0" w:color="auto"/>
            </w:tcBorders>
          </w:tcPr>
          <w:p w14:paraId="02580584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lv-LV"/>
              </w:rPr>
            </w:pPr>
          </w:p>
        </w:tc>
      </w:tr>
      <w:tr w:rsidR="00B35A20" w:rsidRPr="00B35A20" w14:paraId="6C8F1DD3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142A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1.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Tehniskais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pārskats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par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iekšējās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diagnostikas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rezultātiem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un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defektu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apsekošanas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programmas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08616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C7B1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DB900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30 dienu laikā pēc līguma noslēgšanas</w:t>
            </w:r>
          </w:p>
        </w:tc>
      </w:tr>
      <w:tr w:rsidR="00B35A20" w:rsidRPr="00B35A20" w14:paraId="33A602E9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05FD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2. 2015.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gram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un 2021</w:t>
            </w:r>
            <w:proofErr w:type="gram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diagnostiku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datu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salīdzināšana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un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atzinuma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88C3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701E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B2E91E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</w:p>
        </w:tc>
      </w:tr>
      <w:tr w:rsidR="00B35A20" w:rsidRPr="00B35A20" w14:paraId="0ED729D2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A646A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3.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Tehniskais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pārskats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par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korozijas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stāvokli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ar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izolācijas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atjaunošanas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programmas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un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posmu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nomaiņas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programmas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izstrādāšanu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AD9BA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7648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69A477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60 dienu laikā pēc līguma noslēgšanas</w:t>
            </w:r>
          </w:p>
        </w:tc>
      </w:tr>
      <w:tr w:rsidR="00B35A20" w:rsidRPr="00B35A20" w14:paraId="09843134" w14:textId="77777777" w:rsidTr="00191F71"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C26CB" w14:textId="77777777" w:rsidR="00B35A20" w:rsidRPr="00B35A20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4.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Metāla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paraugu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īpašību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noteikšana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91ADB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8069F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92CB0B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līdz tehnisko risinājumu izstrādāšanai</w:t>
            </w:r>
          </w:p>
        </w:tc>
      </w:tr>
      <w:tr w:rsidR="00B35A20" w:rsidRPr="00B35A20" w:rsidDel="00761DB6" w14:paraId="5DAFB826" w14:textId="77777777" w:rsidTr="00191F71">
        <w:trPr>
          <w:trHeight w:val="514"/>
        </w:trPr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40F4" w14:textId="77777777" w:rsidR="00B35A20" w:rsidRPr="00B35A20" w:rsidDel="00761DB6" w:rsidRDefault="00B35A20" w:rsidP="00B35A20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5.Tehnisko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risinājumu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izstrādāšana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(50 gab.),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pamatojoties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uz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defektu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apsekošanas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rezultātiem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898CD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AA0E0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A9841" w14:textId="77777777" w:rsidR="00B35A20" w:rsidRPr="00B35A20" w:rsidDel="00761DB6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līdz 15.12.2022., atbilstoši tehniskās specifikācijas p.2.4.</w:t>
            </w:r>
          </w:p>
        </w:tc>
      </w:tr>
      <w:tr w:rsidR="00B35A20" w:rsidRPr="00B35A20" w14:paraId="3614EB7E" w14:textId="77777777" w:rsidTr="00191F71">
        <w:trPr>
          <w:trHeight w:val="422"/>
        </w:trPr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6F09" w14:textId="77777777" w:rsidR="00B35A20" w:rsidRPr="00B35A20" w:rsidRDefault="00B35A20" w:rsidP="00B35A20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6.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Tehniskais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slēdziens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gāzesvada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drošai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lang w:val="en-GB"/>
              </w:rPr>
              <w:t>ekspluatācijai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86EF5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79CE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6EB4A4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val="lv-LV"/>
              </w:rPr>
            </w:pPr>
            <w:r w:rsidRPr="00B35A20">
              <w:rPr>
                <w:rFonts w:ascii="Times New Roman" w:eastAsia="Times New Roman" w:hAnsi="Times New Roman" w:cs="Times New Roman"/>
                <w:iCs/>
                <w:lang w:val="lv-LV"/>
              </w:rPr>
              <w:t>līdz 15.12.2022</w:t>
            </w:r>
          </w:p>
        </w:tc>
      </w:tr>
      <w:tr w:rsidR="00B35A20" w:rsidRPr="00B35A20" w14:paraId="25295C82" w14:textId="77777777" w:rsidTr="00191F71">
        <w:trPr>
          <w:trHeight w:val="422"/>
        </w:trPr>
        <w:tc>
          <w:tcPr>
            <w:tcW w:w="5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B1A89" w14:textId="77777777" w:rsidR="00B35A20" w:rsidRPr="00B35A20" w:rsidRDefault="00B35A20" w:rsidP="00B35A20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GB"/>
              </w:rPr>
            </w:pPr>
            <w:r w:rsidRPr="00B35A20">
              <w:rPr>
                <w:rFonts w:ascii="Times New Roman" w:eastAsia="Times New Roman" w:hAnsi="Times New Roman" w:cs="Times New Roman"/>
                <w:b/>
                <w:lang w:val="en-GB"/>
              </w:rPr>
              <w:t xml:space="preserve">PIEDĀVĀJUMA CENA KOPĀ (I un II </w:t>
            </w:r>
            <w:proofErr w:type="spellStart"/>
            <w:r w:rsidRPr="00B35A20">
              <w:rPr>
                <w:rFonts w:ascii="Times New Roman" w:eastAsia="Times New Roman" w:hAnsi="Times New Roman" w:cs="Times New Roman"/>
                <w:b/>
                <w:lang w:val="en-GB"/>
              </w:rPr>
              <w:t>daļa</w:t>
            </w:r>
            <w:proofErr w:type="spellEnd"/>
            <w:r w:rsidRPr="00B35A20">
              <w:rPr>
                <w:rFonts w:ascii="Times New Roman" w:eastAsia="Times New Roman" w:hAnsi="Times New Roman" w:cs="Times New Roman"/>
                <w:b/>
                <w:lang w:val="en-GB"/>
              </w:rPr>
              <w:t>) EUR bez PVN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EAD6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F141" w14:textId="77777777" w:rsidR="00B35A20" w:rsidRPr="00B35A20" w:rsidRDefault="00B35A20" w:rsidP="00B35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1A1877" w14:textId="77777777" w:rsidR="00B35A20" w:rsidRPr="00B35A20" w:rsidRDefault="00B35A20" w:rsidP="00B35A20">
            <w:pPr>
              <w:widowControl w:val="0"/>
              <w:tabs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lv-LV"/>
              </w:rPr>
            </w:pPr>
          </w:p>
        </w:tc>
      </w:tr>
    </w:tbl>
    <w:p w14:paraId="3ECEA172" w14:textId="77777777" w:rsidR="00B35A20" w:rsidRPr="00B35A20" w:rsidRDefault="00B35A20" w:rsidP="00B35A2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1814716D" w14:textId="77777777" w:rsidR="00B35A20" w:rsidRPr="00B35A20" w:rsidRDefault="00B35A20" w:rsidP="00B35A20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CENA (I. un II. daļa) (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B35A20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6350225C" w14:textId="77777777" w:rsidR="00B35A20" w:rsidRPr="00B35A20" w:rsidRDefault="00B35A20" w:rsidP="00B35A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1443135E" w14:textId="77777777" w:rsidR="00B35A20" w:rsidRPr="00B35A20" w:rsidRDefault="00B35A20" w:rsidP="00B35A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081F1BA" w14:textId="77777777" w:rsidR="00B35A20" w:rsidRPr="00B35A20" w:rsidRDefault="00B35A20" w:rsidP="00B35A2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35A2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54233540" w14:textId="77777777" w:rsidR="00B35A20" w:rsidRPr="00B35A20" w:rsidRDefault="00B35A20" w:rsidP="00B35A2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35A2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5BEB96E" w14:textId="77777777" w:rsidR="00B35A20" w:rsidRPr="00B35A20" w:rsidRDefault="00B35A20" w:rsidP="00B35A2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0DCA15A" w14:textId="77777777" w:rsidR="00B35A20" w:rsidRPr="00B35A20" w:rsidRDefault="00B35A20" w:rsidP="00B35A20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B26E539" w14:textId="77777777" w:rsidR="00B35A20" w:rsidRPr="00B35A20" w:rsidRDefault="00B35A20" w:rsidP="00B35A20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35A2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6E3461EB" w14:textId="77777777" w:rsidR="00B35A20" w:rsidRPr="00B35A20" w:rsidRDefault="00B35A20" w:rsidP="00B35A20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B35A2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4E3287DF" w14:textId="7DB48C8F" w:rsidR="002A58BB" w:rsidRDefault="00B35A20" w:rsidP="00B35A20">
      <w:pPr>
        <w:keepLines/>
        <w:spacing w:after="0" w:line="480" w:lineRule="auto"/>
        <w:ind w:right="283"/>
        <w:jc w:val="both"/>
      </w:pPr>
      <w:r w:rsidRPr="00B35A2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A20"/>
    <w:rsid w:val="00114EF1"/>
    <w:rsid w:val="004A692A"/>
    <w:rsid w:val="00565903"/>
    <w:rsid w:val="006E5CEA"/>
    <w:rsid w:val="00B10976"/>
    <w:rsid w:val="00B3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4E45A6"/>
  <w15:chartTrackingRefBased/>
  <w15:docId w15:val="{9744C3BD-49BE-4D8A-BABE-91211325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2787</Words>
  <Characters>1590</Characters>
  <Application>Microsoft Office Word</Application>
  <DocSecurity>0</DocSecurity>
  <Lines>13</Lines>
  <Paragraphs>8</Paragraphs>
  <ScaleCrop>false</ScaleCrop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2021-06-28T13:27:00Z</dcterms:created>
  <dcterms:modified xsi:type="dcterms:W3CDTF">2021-06-28T13:28:00Z</dcterms:modified>
</cp:coreProperties>
</file>