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86BE9" w14:textId="56154FE0" w:rsidR="002C35D8" w:rsidRDefault="002C35D8" w:rsidP="00A07C59">
      <w:pPr>
        <w:pStyle w:val="Default"/>
        <w:ind w:left="-567"/>
      </w:pPr>
      <w:r w:rsidRPr="002C35D8">
        <w:rPr>
          <w:noProof/>
          <w:lang w:val="en-US"/>
        </w:rPr>
        <w:drawing>
          <wp:inline distT="0" distB="0" distL="0" distR="0" wp14:anchorId="0AA620EA" wp14:editId="5D7D0AA0">
            <wp:extent cx="2823048" cy="731520"/>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2689" cy="746974"/>
                    </a:xfrm>
                    <a:prstGeom prst="rect">
                      <a:avLst/>
                    </a:prstGeom>
                    <a:noFill/>
                    <a:ln>
                      <a:noFill/>
                    </a:ln>
                  </pic:spPr>
                </pic:pic>
              </a:graphicData>
            </a:graphic>
          </wp:inline>
        </w:drawing>
      </w:r>
    </w:p>
    <w:p w14:paraId="3594EA00" w14:textId="2EEB12D6" w:rsidR="002C35D8" w:rsidRDefault="002C35D8" w:rsidP="002C35D8">
      <w:pPr>
        <w:pStyle w:val="Default"/>
      </w:pPr>
    </w:p>
    <w:p w14:paraId="3307ED58" w14:textId="45F3C584" w:rsidR="009D42AA" w:rsidRDefault="009D42AA" w:rsidP="002C35D8">
      <w:pPr>
        <w:pStyle w:val="Default"/>
      </w:pPr>
    </w:p>
    <w:p w14:paraId="33ED3770" w14:textId="2E749F67" w:rsidR="00A07C59" w:rsidRDefault="00A07C59" w:rsidP="002C35D8">
      <w:pPr>
        <w:pStyle w:val="Default"/>
      </w:pPr>
    </w:p>
    <w:p w14:paraId="4B13F27B" w14:textId="574A3E23" w:rsidR="00A07C59" w:rsidRDefault="00A07C59" w:rsidP="002C35D8">
      <w:pPr>
        <w:pStyle w:val="Default"/>
      </w:pPr>
    </w:p>
    <w:p w14:paraId="563E9C4E" w14:textId="3AFF4323" w:rsidR="00A07C59" w:rsidRDefault="00A07C59" w:rsidP="002C35D8">
      <w:pPr>
        <w:pStyle w:val="Default"/>
      </w:pPr>
    </w:p>
    <w:p w14:paraId="6DBF77A5" w14:textId="655DDE4A" w:rsidR="00A07C59" w:rsidRDefault="00A07C59" w:rsidP="002C35D8">
      <w:pPr>
        <w:pStyle w:val="Default"/>
      </w:pPr>
    </w:p>
    <w:p w14:paraId="5D25A5B5" w14:textId="77777777" w:rsidR="00A07C59" w:rsidRDefault="00A07C59" w:rsidP="002C35D8">
      <w:pPr>
        <w:pStyle w:val="Default"/>
      </w:pPr>
    </w:p>
    <w:p w14:paraId="0BC7F7CD" w14:textId="77777777" w:rsidR="009D42AA" w:rsidRDefault="009D42AA" w:rsidP="002C35D8">
      <w:pPr>
        <w:pStyle w:val="Default"/>
      </w:pPr>
    </w:p>
    <w:p w14:paraId="6C9C7CBA" w14:textId="2D55242A" w:rsidR="002C35D8" w:rsidRDefault="002C35D8" w:rsidP="002C35D8">
      <w:pPr>
        <w:pStyle w:val="Default"/>
      </w:pPr>
    </w:p>
    <w:p w14:paraId="36593234" w14:textId="16E7D1A8" w:rsidR="00A46200" w:rsidRDefault="00A46200" w:rsidP="002C35D8">
      <w:pPr>
        <w:pStyle w:val="Default"/>
      </w:pPr>
    </w:p>
    <w:p w14:paraId="5662C890" w14:textId="77777777" w:rsidR="00A46200" w:rsidRDefault="00A46200" w:rsidP="002C35D8">
      <w:pPr>
        <w:pStyle w:val="Default"/>
      </w:pPr>
    </w:p>
    <w:p w14:paraId="74C09492" w14:textId="54DA04E1" w:rsidR="002C35D8" w:rsidRDefault="00716F52" w:rsidP="00716F52">
      <w:pPr>
        <w:pStyle w:val="Default"/>
        <w:jc w:val="center"/>
        <w:rPr>
          <w:sz w:val="56"/>
          <w:szCs w:val="56"/>
        </w:rPr>
      </w:pPr>
      <w:r>
        <w:rPr>
          <w:sz w:val="56"/>
          <w:szCs w:val="56"/>
        </w:rPr>
        <w:t>2022</w:t>
      </w:r>
      <w:r w:rsidR="002C35D8">
        <w:rPr>
          <w:sz w:val="56"/>
          <w:szCs w:val="56"/>
        </w:rPr>
        <w:t>./</w:t>
      </w:r>
      <w:r>
        <w:rPr>
          <w:sz w:val="56"/>
          <w:szCs w:val="56"/>
        </w:rPr>
        <w:t>2023</w:t>
      </w:r>
      <w:r w:rsidR="007220A9">
        <w:rPr>
          <w:sz w:val="56"/>
          <w:szCs w:val="56"/>
        </w:rPr>
        <w:t xml:space="preserve">. </w:t>
      </w:r>
      <w:r w:rsidR="002C35D8">
        <w:rPr>
          <w:sz w:val="56"/>
          <w:szCs w:val="56"/>
        </w:rPr>
        <w:t xml:space="preserve">gada krātuves cikla </w:t>
      </w:r>
      <w:r w:rsidR="001C7D84">
        <w:rPr>
          <w:sz w:val="56"/>
          <w:szCs w:val="56"/>
        </w:rPr>
        <w:t>Atslēdzamās</w:t>
      </w:r>
      <w:r w:rsidR="007220A9" w:rsidRPr="007220A9">
        <w:rPr>
          <w:sz w:val="56"/>
          <w:szCs w:val="56"/>
        </w:rPr>
        <w:t xml:space="preserve"> jaudas</w:t>
      </w:r>
      <w:r w:rsidR="002C35D8">
        <w:rPr>
          <w:sz w:val="56"/>
          <w:szCs w:val="56"/>
        </w:rPr>
        <w:t xml:space="preserve"> produkta izsoles nolikums</w:t>
      </w:r>
    </w:p>
    <w:p w14:paraId="3D571169" w14:textId="77777777" w:rsidR="007220A9" w:rsidRDefault="002C35D8" w:rsidP="002C35D8">
      <w:pPr>
        <w:pStyle w:val="Default"/>
        <w:jc w:val="center"/>
        <w:rPr>
          <w:sz w:val="40"/>
          <w:szCs w:val="40"/>
        </w:rPr>
      </w:pPr>
      <w:r>
        <w:rPr>
          <w:sz w:val="40"/>
          <w:szCs w:val="40"/>
        </w:rPr>
        <w:t xml:space="preserve">Izsoles identifikācijas numurs – </w:t>
      </w:r>
    </w:p>
    <w:p w14:paraId="1B109775" w14:textId="42B97FE4" w:rsidR="002C35D8" w:rsidRDefault="002C35D8" w:rsidP="002C35D8">
      <w:pPr>
        <w:pStyle w:val="Default"/>
        <w:jc w:val="center"/>
        <w:rPr>
          <w:sz w:val="40"/>
          <w:szCs w:val="40"/>
        </w:rPr>
      </w:pPr>
      <w:r>
        <w:rPr>
          <w:sz w:val="40"/>
          <w:szCs w:val="40"/>
        </w:rPr>
        <w:t>Conexus Baltic Grid</w:t>
      </w:r>
      <w:r w:rsidR="007220A9">
        <w:rPr>
          <w:sz w:val="40"/>
          <w:szCs w:val="40"/>
        </w:rPr>
        <w:t xml:space="preserve"> </w:t>
      </w:r>
      <w:r w:rsidR="001C7D84" w:rsidRPr="001C7D84">
        <w:rPr>
          <w:sz w:val="40"/>
          <w:szCs w:val="40"/>
        </w:rPr>
        <w:t>IPGKAP</w:t>
      </w:r>
      <w:r w:rsidR="00716F52" w:rsidRPr="001C7D84">
        <w:rPr>
          <w:sz w:val="40"/>
          <w:szCs w:val="40"/>
        </w:rPr>
        <w:t>/2022/</w:t>
      </w:r>
      <w:r w:rsidR="002E6A93">
        <w:rPr>
          <w:sz w:val="40"/>
          <w:szCs w:val="40"/>
        </w:rPr>
        <w:t>5</w:t>
      </w:r>
    </w:p>
    <w:p w14:paraId="46335946" w14:textId="77777777" w:rsidR="000665AC" w:rsidRDefault="000665AC" w:rsidP="002C35D8">
      <w:pPr>
        <w:pStyle w:val="Default"/>
        <w:jc w:val="center"/>
        <w:rPr>
          <w:sz w:val="40"/>
          <w:szCs w:val="40"/>
        </w:rPr>
      </w:pPr>
    </w:p>
    <w:p w14:paraId="668F2510" w14:textId="77777777" w:rsidR="002C35D8" w:rsidRDefault="002C35D8" w:rsidP="002C35D8">
      <w:pPr>
        <w:pStyle w:val="Default"/>
        <w:rPr>
          <w:color w:val="auto"/>
        </w:rPr>
      </w:pPr>
    </w:p>
    <w:p w14:paraId="1C8DD48B" w14:textId="77777777" w:rsidR="002C35D8" w:rsidRDefault="002C35D8" w:rsidP="002C35D8">
      <w:pPr>
        <w:pStyle w:val="Default"/>
        <w:pageBreakBefore/>
        <w:rPr>
          <w:color w:val="auto"/>
          <w:sz w:val="28"/>
          <w:szCs w:val="28"/>
        </w:rPr>
      </w:pPr>
      <w:r>
        <w:rPr>
          <w:b/>
          <w:bCs/>
          <w:color w:val="auto"/>
          <w:sz w:val="28"/>
          <w:szCs w:val="28"/>
        </w:rPr>
        <w:lastRenderedPageBreak/>
        <w:t xml:space="preserve">1. Izsoles mērķis, vispārīga informācija </w:t>
      </w:r>
    </w:p>
    <w:p w14:paraId="41D8AC9F" w14:textId="011B6394" w:rsidR="002C35D8" w:rsidRPr="00A07C59" w:rsidRDefault="002C35D8" w:rsidP="009C41EC">
      <w:pPr>
        <w:pStyle w:val="Default"/>
        <w:spacing w:after="120"/>
        <w:jc w:val="both"/>
        <w:rPr>
          <w:color w:val="auto"/>
        </w:rPr>
      </w:pPr>
      <w:r w:rsidRPr="00A07C59">
        <w:rPr>
          <w:color w:val="auto"/>
        </w:rPr>
        <w:t xml:space="preserve">1.1. Izsoles mērķis ir nodrošināt Inčukalna pazemes gāzes krātuves (turpmāk – krātuve) jaudas skaidru, pārredzamu un nediskriminējošu piešķiršanu dabasgāzes uzglabāšanas sistēmas lietotājiem (turpmāk – sistēmas lietotājs), veicot krātuves jaudas rezervēšanu. </w:t>
      </w:r>
    </w:p>
    <w:p w14:paraId="6967B1C9" w14:textId="77BF35FD" w:rsidR="002C35D8" w:rsidRPr="007E7CAB" w:rsidRDefault="002C35D8" w:rsidP="00A07C59">
      <w:pPr>
        <w:pStyle w:val="Default"/>
        <w:spacing w:after="120"/>
        <w:jc w:val="both"/>
        <w:rPr>
          <w:color w:val="auto"/>
        </w:rPr>
      </w:pPr>
      <w:r w:rsidRPr="00A07C59">
        <w:rPr>
          <w:color w:val="auto"/>
        </w:rPr>
        <w:t>1.2. Akciju sabiedrība "Conexus Baltic Grid" (</w:t>
      </w:r>
      <w:r w:rsidRPr="007E7CAB">
        <w:rPr>
          <w:color w:val="auto"/>
        </w:rPr>
        <w:t>turpmāk - AS "Conexus Baltic Grid"), vienotais reģistrācijas numurs: 40203041605, adrese: Stigu iela 14, Rīga, LV – 1021, ņemot vērā Sabiedrisko pakalpojumu regulēšanas komisijas 2020.</w:t>
      </w:r>
      <w:r w:rsidR="007220A9" w:rsidRPr="007E7CAB">
        <w:rPr>
          <w:color w:val="auto"/>
        </w:rPr>
        <w:t xml:space="preserve"> </w:t>
      </w:r>
      <w:r w:rsidRPr="007E7CAB">
        <w:rPr>
          <w:color w:val="auto"/>
        </w:rPr>
        <w:t>gada 1.</w:t>
      </w:r>
      <w:r w:rsidR="007220A9" w:rsidRPr="007E7CAB">
        <w:rPr>
          <w:color w:val="auto"/>
        </w:rPr>
        <w:t xml:space="preserve"> </w:t>
      </w:r>
      <w:r w:rsidRPr="007E7CAB">
        <w:rPr>
          <w:color w:val="auto"/>
        </w:rPr>
        <w:t>oktobra padomes lēmuma Nr.1/14 "Inčukalna pazemes gāzes krātuves lietošanas noteikumi" (turpmāk – Krātuves lietošanas noteikumi) 2.</w:t>
      </w:r>
      <w:r w:rsidR="00EA7BB1" w:rsidRPr="007E7CAB">
        <w:rPr>
          <w:color w:val="auto"/>
        </w:rPr>
        <w:t xml:space="preserve"> </w:t>
      </w:r>
      <w:r w:rsidRPr="007E7CAB">
        <w:rPr>
          <w:color w:val="auto"/>
        </w:rPr>
        <w:t xml:space="preserve">pielikuma </w:t>
      </w:r>
      <w:r w:rsidR="00716F52">
        <w:rPr>
          <w:color w:val="auto"/>
        </w:rPr>
        <w:t>1.1</w:t>
      </w:r>
      <w:r w:rsidR="00F7347E" w:rsidRPr="004B484B">
        <w:rPr>
          <w:color w:val="auto"/>
        </w:rPr>
        <w:t xml:space="preserve">. </w:t>
      </w:r>
      <w:r w:rsidR="00F7347E">
        <w:rPr>
          <w:color w:val="auto"/>
        </w:rPr>
        <w:t xml:space="preserve"> </w:t>
      </w:r>
      <w:r w:rsidR="00182E54">
        <w:rPr>
          <w:color w:val="auto"/>
        </w:rPr>
        <w:t xml:space="preserve">un </w:t>
      </w:r>
      <w:r w:rsidR="00716F52">
        <w:rPr>
          <w:color w:val="auto"/>
        </w:rPr>
        <w:t>1.2</w:t>
      </w:r>
      <w:r w:rsidR="00CE0C82">
        <w:rPr>
          <w:color w:val="auto"/>
        </w:rPr>
        <w:t>.</w:t>
      </w:r>
      <w:r w:rsidR="007D33F0">
        <w:rPr>
          <w:color w:val="auto"/>
        </w:rPr>
        <w:t> </w:t>
      </w:r>
      <w:r w:rsidRPr="007E7CAB">
        <w:rPr>
          <w:color w:val="auto"/>
        </w:rPr>
        <w:t xml:space="preserve">apakšpunktā noteikto, sistēmas lietotājam </w:t>
      </w:r>
      <w:r w:rsidR="001C7D84" w:rsidRPr="001C7D84">
        <w:rPr>
          <w:color w:val="auto"/>
        </w:rPr>
        <w:t xml:space="preserve">Atslēdzamās </w:t>
      </w:r>
      <w:r w:rsidR="007220A9" w:rsidRPr="007E7CAB">
        <w:rPr>
          <w:color w:val="auto"/>
        </w:rPr>
        <w:t xml:space="preserve">jaudas </w:t>
      </w:r>
      <w:r w:rsidRPr="007E7CAB">
        <w:rPr>
          <w:color w:val="auto"/>
        </w:rPr>
        <w:t>produktu</w:t>
      </w:r>
      <w:r w:rsidR="007848D7" w:rsidRPr="007E7CAB">
        <w:rPr>
          <w:color w:val="auto"/>
        </w:rPr>
        <w:t xml:space="preserve"> (turpmāk – Jaudas produkts)</w:t>
      </w:r>
      <w:r w:rsidR="00D04B69" w:rsidRPr="007E7CAB">
        <w:rPr>
          <w:color w:val="auto"/>
        </w:rPr>
        <w:t xml:space="preserve"> </w:t>
      </w:r>
      <w:r w:rsidR="00716F52">
        <w:rPr>
          <w:color w:val="auto"/>
        </w:rPr>
        <w:t>2022</w:t>
      </w:r>
      <w:r w:rsidRPr="007E7CAB">
        <w:rPr>
          <w:color w:val="auto"/>
        </w:rPr>
        <w:t>./</w:t>
      </w:r>
      <w:r w:rsidR="00716F52">
        <w:rPr>
          <w:color w:val="auto"/>
        </w:rPr>
        <w:t>2023</w:t>
      </w:r>
      <w:r w:rsidRPr="007E7CAB">
        <w:rPr>
          <w:color w:val="auto"/>
        </w:rPr>
        <w:t>.</w:t>
      </w:r>
      <w:r w:rsidR="007220A9" w:rsidRPr="007E7CAB">
        <w:rPr>
          <w:color w:val="auto"/>
        </w:rPr>
        <w:t xml:space="preserve"> </w:t>
      </w:r>
      <w:r w:rsidRPr="007E7CAB">
        <w:rPr>
          <w:color w:val="auto"/>
        </w:rPr>
        <w:t xml:space="preserve">gada krātuves ciklam piešķir, piemērojot izsoles procedūru (turpmāk – Izsole). </w:t>
      </w:r>
    </w:p>
    <w:p w14:paraId="4A1C53CC" w14:textId="488925A3" w:rsidR="002C35D8" w:rsidRPr="00A07C59" w:rsidRDefault="002C35D8" w:rsidP="00A07C59">
      <w:pPr>
        <w:pStyle w:val="Default"/>
        <w:spacing w:after="120"/>
        <w:jc w:val="both"/>
        <w:rPr>
          <w:color w:val="auto"/>
        </w:rPr>
      </w:pPr>
      <w:r w:rsidRPr="007E7CAB">
        <w:rPr>
          <w:color w:val="auto"/>
        </w:rPr>
        <w:t xml:space="preserve">1.3. Izsoles priekšmets ir noteikta krātuves jaudas apjoma izmantošanas tiesība </w:t>
      </w:r>
      <w:r w:rsidR="00716F52">
        <w:rPr>
          <w:color w:val="auto"/>
        </w:rPr>
        <w:t>2022</w:t>
      </w:r>
      <w:r w:rsidR="00716F52" w:rsidRPr="007E7CAB">
        <w:rPr>
          <w:color w:val="auto"/>
        </w:rPr>
        <w:t>./</w:t>
      </w:r>
      <w:r w:rsidR="00716F52">
        <w:rPr>
          <w:color w:val="auto"/>
        </w:rPr>
        <w:t>2023</w:t>
      </w:r>
      <w:r w:rsidR="00716F52" w:rsidRPr="007E7CAB">
        <w:rPr>
          <w:color w:val="auto"/>
        </w:rPr>
        <w:t>.</w:t>
      </w:r>
      <w:r w:rsidR="00716F52">
        <w:rPr>
          <w:color w:val="auto"/>
        </w:rPr>
        <w:t xml:space="preserve"> </w:t>
      </w:r>
      <w:r w:rsidRPr="007E7CAB">
        <w:rPr>
          <w:color w:val="auto"/>
        </w:rPr>
        <w:t xml:space="preserve">gada krātuves ciklā </w:t>
      </w:r>
      <w:r w:rsidR="007848D7" w:rsidRPr="007E7CAB">
        <w:rPr>
          <w:color w:val="auto"/>
        </w:rPr>
        <w:t>J</w:t>
      </w:r>
      <w:r w:rsidRPr="007E7CAB">
        <w:rPr>
          <w:color w:val="auto"/>
        </w:rPr>
        <w:t>audas produkta ietvaros, kuru izmantojot sistēmas lietotājs var uzglabāt dabasgāzi krātuvē Izsoles rezultātā piešķirtajā krātuves jaudas apjomā, novietot</w:t>
      </w:r>
      <w:r w:rsidRPr="00A07C59">
        <w:rPr>
          <w:color w:val="auto"/>
        </w:rPr>
        <w:t xml:space="preserve"> dabasgāzi krātuvē un izņemt dabasgāzi no krātuves. </w:t>
      </w:r>
    </w:p>
    <w:p w14:paraId="3BC7828A" w14:textId="712250B2" w:rsidR="002C35D8" w:rsidRPr="00A07C59" w:rsidRDefault="002C35D8" w:rsidP="00A07C59">
      <w:pPr>
        <w:pStyle w:val="Default"/>
        <w:spacing w:after="120"/>
        <w:jc w:val="both"/>
        <w:rPr>
          <w:color w:val="auto"/>
        </w:rPr>
      </w:pPr>
      <w:r w:rsidRPr="00A07C59">
        <w:rPr>
          <w:color w:val="auto"/>
        </w:rPr>
        <w:t xml:space="preserve">1.4. Izsoles veids – izsole, kurā izmanto vienotas prēmijas noteikšanu </w:t>
      </w:r>
      <w:r w:rsidRPr="00BF76F6">
        <w:rPr>
          <w:color w:val="auto"/>
        </w:rPr>
        <w:t>("pay-as-clear</w:t>
      </w:r>
      <w:r w:rsidRPr="00A07C59">
        <w:rPr>
          <w:color w:val="auto"/>
        </w:rPr>
        <w:t xml:space="preserve">"). </w:t>
      </w:r>
    </w:p>
    <w:p w14:paraId="6FE7C245" w14:textId="55A4FC2B" w:rsidR="002C35D8" w:rsidRPr="00A07C59" w:rsidRDefault="002C35D8" w:rsidP="00A07C59">
      <w:pPr>
        <w:pStyle w:val="Default"/>
        <w:spacing w:after="120"/>
        <w:jc w:val="both"/>
        <w:rPr>
          <w:color w:val="auto"/>
        </w:rPr>
      </w:pPr>
      <w:r w:rsidRPr="00A07C59">
        <w:rPr>
          <w:color w:val="auto"/>
        </w:rPr>
        <w:t xml:space="preserve">1.5. Šīs Izsoles ietvaros </w:t>
      </w:r>
      <w:r w:rsidR="007848D7">
        <w:rPr>
          <w:color w:val="auto"/>
        </w:rPr>
        <w:t>J</w:t>
      </w:r>
      <w:r w:rsidRPr="00A07C59">
        <w:rPr>
          <w:color w:val="auto"/>
        </w:rPr>
        <w:t xml:space="preserve">audas produktam </w:t>
      </w:r>
      <w:r w:rsidR="00716F52">
        <w:rPr>
          <w:color w:val="auto"/>
        </w:rPr>
        <w:t>2022</w:t>
      </w:r>
      <w:r w:rsidR="00716F52" w:rsidRPr="007E7CAB">
        <w:rPr>
          <w:color w:val="auto"/>
        </w:rPr>
        <w:t>./</w:t>
      </w:r>
      <w:r w:rsidR="00716F52">
        <w:rPr>
          <w:color w:val="auto"/>
        </w:rPr>
        <w:t>2023</w:t>
      </w:r>
      <w:r w:rsidR="00716F52" w:rsidRPr="007E7CAB">
        <w:rPr>
          <w:color w:val="auto"/>
        </w:rPr>
        <w:t>.</w:t>
      </w:r>
      <w:r w:rsidR="00716F52">
        <w:rPr>
          <w:color w:val="auto"/>
        </w:rPr>
        <w:t xml:space="preserve"> </w:t>
      </w:r>
      <w:r w:rsidRPr="00A07C59">
        <w:rPr>
          <w:color w:val="auto"/>
        </w:rPr>
        <w:t xml:space="preserve">gada krātuves ciklā maksimāli pieejamais krātuves jaudas apjoms – </w:t>
      </w:r>
      <w:r w:rsidR="000514EC" w:rsidRPr="00BF5CE9">
        <w:rPr>
          <w:color w:val="auto"/>
        </w:rPr>
        <w:t>2</w:t>
      </w:r>
      <w:r w:rsidR="008A5CD0" w:rsidRPr="00BF5CE9">
        <w:rPr>
          <w:color w:val="auto"/>
        </w:rPr>
        <w:t>,578</w:t>
      </w:r>
      <w:r w:rsidR="00F037DA">
        <w:rPr>
          <w:color w:val="auto"/>
        </w:rPr>
        <w:t xml:space="preserve"> </w:t>
      </w:r>
      <w:r w:rsidR="00F62B5A" w:rsidRPr="00F62B5A">
        <w:rPr>
          <w:color w:val="auto"/>
        </w:rPr>
        <w:t>MWh</w:t>
      </w:r>
      <w:r w:rsidRPr="00A07C59">
        <w:rPr>
          <w:color w:val="auto"/>
        </w:rPr>
        <w:t xml:space="preserve">. </w:t>
      </w:r>
    </w:p>
    <w:p w14:paraId="2914BE9D" w14:textId="24BDA576" w:rsidR="002C35D8" w:rsidRPr="00A07C59" w:rsidRDefault="002C35D8" w:rsidP="00A07C59">
      <w:pPr>
        <w:pStyle w:val="Default"/>
        <w:spacing w:after="120"/>
        <w:jc w:val="both"/>
        <w:rPr>
          <w:color w:val="auto"/>
        </w:rPr>
      </w:pPr>
      <w:r w:rsidRPr="00A07C59">
        <w:rPr>
          <w:color w:val="auto"/>
        </w:rPr>
        <w:t xml:space="preserve">1.6. Izsolē var piedalīties jebkurš dabasgāzes pārvades sistēmas lietotājs un sistēmas lietotājs (persona, </w:t>
      </w:r>
      <w:r w:rsidR="00EA7BB1" w:rsidRPr="00EA7BB1">
        <w:rPr>
          <w:color w:val="auto"/>
        </w:rPr>
        <w:t>kura ir noslēgusi</w:t>
      </w:r>
      <w:r w:rsidR="00EA7BB1" w:rsidRPr="00EA7BB1" w:rsidDel="00EA7BB1">
        <w:rPr>
          <w:color w:val="auto"/>
        </w:rPr>
        <w:t xml:space="preserve"> </w:t>
      </w:r>
      <w:r w:rsidRPr="00A07C59">
        <w:rPr>
          <w:color w:val="auto"/>
        </w:rPr>
        <w:t xml:space="preserve">pārvades sistēmas pakalpojumu </w:t>
      </w:r>
      <w:r w:rsidR="00EA7BB1" w:rsidRPr="00A07C59">
        <w:rPr>
          <w:color w:val="auto"/>
        </w:rPr>
        <w:t>līgum</w:t>
      </w:r>
      <w:r w:rsidR="00EA7BB1">
        <w:rPr>
          <w:color w:val="auto"/>
        </w:rPr>
        <w:t>u</w:t>
      </w:r>
      <w:r w:rsidR="00B652FB">
        <w:rPr>
          <w:color w:val="auto"/>
        </w:rPr>
        <w:t>,</w:t>
      </w:r>
      <w:r w:rsidRPr="00A07C59">
        <w:rPr>
          <w:color w:val="auto"/>
        </w:rPr>
        <w:t xml:space="preserve"> balansēšanas </w:t>
      </w:r>
      <w:r w:rsidR="00EA7BB1" w:rsidRPr="00A07C59">
        <w:rPr>
          <w:color w:val="auto"/>
        </w:rPr>
        <w:t>līgum</w:t>
      </w:r>
      <w:r w:rsidR="00EA7BB1">
        <w:rPr>
          <w:color w:val="auto"/>
        </w:rPr>
        <w:t>u</w:t>
      </w:r>
      <w:r w:rsidR="00EA7BB1" w:rsidRPr="00A07C59">
        <w:rPr>
          <w:color w:val="auto"/>
        </w:rPr>
        <w:t xml:space="preserve"> </w:t>
      </w:r>
      <w:r w:rsidRPr="00A07C59">
        <w:rPr>
          <w:color w:val="auto"/>
        </w:rPr>
        <w:t xml:space="preserve">ar kādu no vienotās Igaunijas un Latvijas balansēšanas zonas dabasgāzes pārvades sistēmas operatoriem un dabasgāzes uzglabāšanas pakalpojuma </w:t>
      </w:r>
      <w:r w:rsidR="00EA7BB1" w:rsidRPr="00A07C59">
        <w:rPr>
          <w:color w:val="auto"/>
        </w:rPr>
        <w:t>līgum</w:t>
      </w:r>
      <w:r w:rsidR="00EA7BB1">
        <w:rPr>
          <w:color w:val="auto"/>
        </w:rPr>
        <w:t xml:space="preserve">u ar </w:t>
      </w:r>
      <w:r w:rsidR="00EA7BB1" w:rsidRPr="00A07C59">
        <w:rPr>
          <w:color w:val="auto"/>
        </w:rPr>
        <w:t>AS "Conexus Baltic Grid"</w:t>
      </w:r>
      <w:r w:rsidRPr="00A07C59">
        <w:rPr>
          <w:color w:val="auto"/>
        </w:rPr>
        <w:t xml:space="preserve">) (turpmāk – </w:t>
      </w:r>
      <w:r w:rsidR="00182E54">
        <w:rPr>
          <w:color w:val="auto"/>
        </w:rPr>
        <w:t>Izsoles dalībnieks</w:t>
      </w:r>
      <w:r w:rsidRPr="00A07C59">
        <w:rPr>
          <w:color w:val="auto"/>
        </w:rPr>
        <w:t xml:space="preserve">). </w:t>
      </w:r>
    </w:p>
    <w:p w14:paraId="1BE15618" w14:textId="7F48D003" w:rsidR="002C35D8" w:rsidRPr="00A07C59" w:rsidRDefault="002C35D8" w:rsidP="00A07C59">
      <w:pPr>
        <w:pStyle w:val="Default"/>
        <w:spacing w:after="120"/>
        <w:jc w:val="both"/>
        <w:rPr>
          <w:color w:val="auto"/>
        </w:rPr>
      </w:pPr>
      <w:r w:rsidRPr="00A07C59">
        <w:rPr>
          <w:color w:val="auto"/>
        </w:rPr>
        <w:t xml:space="preserve">1.7. AS "Conexus Baltic Grid" pēc </w:t>
      </w:r>
      <w:r w:rsidR="00182E54">
        <w:rPr>
          <w:color w:val="auto"/>
        </w:rPr>
        <w:t xml:space="preserve">Izsoles dalībnieka </w:t>
      </w:r>
      <w:r w:rsidRPr="00A07C59">
        <w:rPr>
          <w:color w:val="auto"/>
        </w:rPr>
        <w:t xml:space="preserve">pieprasījuma sniedz skaidrojumu par šajā Nolikumā ietvertajām prasībām. Skaidrojuma pieprasījumu </w:t>
      </w:r>
      <w:r w:rsidR="00182E54">
        <w:rPr>
          <w:color w:val="auto"/>
        </w:rPr>
        <w:t>Izsoles dalībnieks</w:t>
      </w:r>
      <w:r w:rsidR="00182E54" w:rsidRPr="00A07C59">
        <w:rPr>
          <w:color w:val="auto"/>
        </w:rPr>
        <w:t xml:space="preserve"> </w:t>
      </w:r>
      <w:r w:rsidRPr="00A07C59">
        <w:rPr>
          <w:color w:val="auto"/>
        </w:rPr>
        <w:t>iesniedz elektroniski šā Nolikuma 2.</w:t>
      </w:r>
      <w:r w:rsidR="00DC5B12" w:rsidRPr="00A07C59">
        <w:rPr>
          <w:color w:val="auto"/>
        </w:rPr>
        <w:t>2</w:t>
      </w:r>
      <w:r w:rsidR="00DC5B12">
        <w:rPr>
          <w:color w:val="auto"/>
        </w:rPr>
        <w:t>2</w:t>
      </w:r>
      <w:r w:rsidRPr="00A07C59">
        <w:rPr>
          <w:color w:val="auto"/>
        </w:rPr>
        <w:t>.</w:t>
      </w:r>
      <w:r w:rsidR="007220A9">
        <w:rPr>
          <w:color w:val="auto"/>
        </w:rPr>
        <w:t xml:space="preserve"> </w:t>
      </w:r>
      <w:r w:rsidRPr="00A07C59">
        <w:rPr>
          <w:color w:val="auto"/>
        </w:rPr>
        <w:t>apakšpunktā noteiktajām AS "Conexus Baltic Grid" kontaktpersonām ne vēlāk kā trīs darba dienas pirms šā Nolikuma 2.1.</w:t>
      </w:r>
      <w:r w:rsidR="007220A9">
        <w:rPr>
          <w:color w:val="auto"/>
        </w:rPr>
        <w:t xml:space="preserve"> </w:t>
      </w:r>
      <w:r w:rsidRPr="00A07C59">
        <w:rPr>
          <w:color w:val="auto"/>
        </w:rPr>
        <w:t xml:space="preserve">apakšpunktā noteiktās Izsoles norises dienas. AS "Conexus Baltic Grid" atbildi uz skaidrojuma pieprasījumu sniedz elektroniski ne vēlāk kā vienu darba dienu pirms Izsoles norises dienas. </w:t>
      </w:r>
    </w:p>
    <w:p w14:paraId="2EB08E04" w14:textId="5085DD75" w:rsidR="002C35D8" w:rsidRPr="00A07C59" w:rsidRDefault="002C35D8" w:rsidP="00A07C59">
      <w:pPr>
        <w:pStyle w:val="Default"/>
        <w:spacing w:after="120"/>
        <w:jc w:val="both"/>
        <w:rPr>
          <w:color w:val="auto"/>
        </w:rPr>
      </w:pPr>
      <w:r w:rsidRPr="00A07C59">
        <w:rPr>
          <w:color w:val="auto"/>
        </w:rPr>
        <w:t xml:space="preserve">1.8. </w:t>
      </w:r>
      <w:r w:rsidR="00182E54">
        <w:rPr>
          <w:color w:val="auto"/>
        </w:rPr>
        <w:t>Izsoles dalībnieks</w:t>
      </w:r>
      <w:r w:rsidRPr="00A07C59">
        <w:rPr>
          <w:color w:val="auto"/>
        </w:rPr>
        <w:t xml:space="preserve">, sazinoties ar AS "Conexus Baltic Grid" šajā Nolikumā paredzētajos gadījumos, informāciju un dokumentus iesniedz pēc izvēles latviešu vai angļu valodā. </w:t>
      </w:r>
    </w:p>
    <w:p w14:paraId="61CD108E" w14:textId="77777777" w:rsidR="002C35D8" w:rsidRDefault="002C35D8" w:rsidP="002C35D8">
      <w:pPr>
        <w:pStyle w:val="Default"/>
        <w:rPr>
          <w:color w:val="auto"/>
          <w:sz w:val="23"/>
          <w:szCs w:val="23"/>
        </w:rPr>
      </w:pPr>
    </w:p>
    <w:p w14:paraId="1300F8EC" w14:textId="7657DDA6" w:rsidR="002C35D8" w:rsidRDefault="002C35D8" w:rsidP="009C41EC">
      <w:pPr>
        <w:pStyle w:val="Default"/>
        <w:spacing w:after="120"/>
        <w:rPr>
          <w:color w:val="auto"/>
          <w:sz w:val="28"/>
          <w:szCs w:val="28"/>
        </w:rPr>
      </w:pPr>
      <w:r>
        <w:rPr>
          <w:b/>
          <w:bCs/>
          <w:color w:val="auto"/>
          <w:sz w:val="28"/>
          <w:szCs w:val="28"/>
        </w:rPr>
        <w:t xml:space="preserve">2. Izsoles norise, piedāvājumu iesniegšana </w:t>
      </w:r>
    </w:p>
    <w:p w14:paraId="38306496" w14:textId="0ED14044" w:rsidR="002C35D8" w:rsidRPr="00A07C59" w:rsidRDefault="009C41EC" w:rsidP="00A46200">
      <w:pPr>
        <w:pStyle w:val="Default"/>
        <w:spacing w:after="120"/>
        <w:jc w:val="both"/>
        <w:rPr>
          <w:color w:val="auto"/>
        </w:rPr>
      </w:pPr>
      <w:r w:rsidRPr="00A07C59">
        <w:rPr>
          <w:color w:val="auto"/>
        </w:rPr>
        <w:t xml:space="preserve">2.1. AS "Conexus Baltic Grid" rīko Izsoli </w:t>
      </w:r>
      <w:r w:rsidR="00716F52">
        <w:rPr>
          <w:color w:val="auto"/>
        </w:rPr>
        <w:t>2022.</w:t>
      </w:r>
      <w:r w:rsidR="007220A9">
        <w:rPr>
          <w:color w:val="auto"/>
        </w:rPr>
        <w:t xml:space="preserve"> </w:t>
      </w:r>
      <w:r w:rsidRPr="00A07C59">
        <w:rPr>
          <w:color w:val="auto"/>
        </w:rPr>
        <w:t>gada</w:t>
      </w:r>
      <w:r w:rsidR="00993574">
        <w:rPr>
          <w:color w:val="auto"/>
        </w:rPr>
        <w:t xml:space="preserve"> </w:t>
      </w:r>
      <w:r w:rsidR="002E6A93">
        <w:rPr>
          <w:color w:val="auto"/>
        </w:rPr>
        <w:t>26</w:t>
      </w:r>
      <w:r w:rsidR="008A5CD0">
        <w:rPr>
          <w:color w:val="auto"/>
        </w:rPr>
        <w:t xml:space="preserve">. </w:t>
      </w:r>
      <w:r w:rsidR="000C75BC">
        <w:rPr>
          <w:color w:val="auto"/>
        </w:rPr>
        <w:t>jūlijā</w:t>
      </w:r>
      <w:r w:rsidR="00D12D9C">
        <w:rPr>
          <w:color w:val="auto"/>
        </w:rPr>
        <w:t>.</w:t>
      </w:r>
      <w:r w:rsidRPr="00A07C59">
        <w:rPr>
          <w:color w:val="auto"/>
        </w:rPr>
        <w:t xml:space="preserve"> </w:t>
      </w:r>
    </w:p>
    <w:p w14:paraId="338FA58F" w14:textId="37E2EFB7" w:rsidR="002C35D8" w:rsidRPr="00A07C59" w:rsidRDefault="002C35D8" w:rsidP="00A46200">
      <w:pPr>
        <w:pStyle w:val="Default"/>
        <w:spacing w:after="120"/>
        <w:jc w:val="both"/>
        <w:rPr>
          <w:color w:val="auto"/>
        </w:rPr>
      </w:pPr>
      <w:r w:rsidRPr="00A07C59">
        <w:rPr>
          <w:color w:val="auto"/>
        </w:rPr>
        <w:t>2.</w:t>
      </w:r>
      <w:r w:rsidR="00CA4BFF">
        <w:rPr>
          <w:color w:val="auto"/>
        </w:rPr>
        <w:t>2</w:t>
      </w:r>
      <w:r w:rsidRPr="00A07C59">
        <w:rPr>
          <w:color w:val="auto"/>
        </w:rPr>
        <w:t xml:space="preserve">. </w:t>
      </w:r>
      <w:r w:rsidR="00182E54">
        <w:rPr>
          <w:color w:val="auto"/>
        </w:rPr>
        <w:t>Izsoles p</w:t>
      </w:r>
      <w:r w:rsidRPr="00A07C59">
        <w:rPr>
          <w:color w:val="auto"/>
        </w:rPr>
        <w:t>iedāvājum</w:t>
      </w:r>
      <w:r w:rsidR="00182E54">
        <w:rPr>
          <w:color w:val="auto"/>
        </w:rPr>
        <w:t>a lapu saskaņā ar šā Nolikuma pielikumu (turpmāk – Piedāvājums)</w:t>
      </w:r>
      <w:r w:rsidRPr="00A07C59">
        <w:rPr>
          <w:color w:val="auto"/>
        </w:rPr>
        <w:t xml:space="preserve"> var iesniegt Izsoles dalībnieks, </w:t>
      </w:r>
      <w:r w:rsidR="003407DF">
        <w:rPr>
          <w:color w:val="auto"/>
        </w:rPr>
        <w:t>kurš</w:t>
      </w:r>
      <w:r w:rsidR="00B62BC6">
        <w:rPr>
          <w:color w:val="auto"/>
        </w:rPr>
        <w:t xml:space="preserve"> </w:t>
      </w:r>
      <w:r w:rsidRPr="00A07C59">
        <w:rPr>
          <w:color w:val="auto"/>
        </w:rPr>
        <w:t>a</w:t>
      </w:r>
      <w:r w:rsidR="008267E5">
        <w:rPr>
          <w:color w:val="auto"/>
        </w:rPr>
        <w:t>tbilst</w:t>
      </w:r>
      <w:r w:rsidRPr="00A07C59">
        <w:rPr>
          <w:color w:val="auto"/>
        </w:rPr>
        <w:t xml:space="preserve"> šā Nolikuma </w:t>
      </w:r>
      <w:r w:rsidR="003407DF">
        <w:rPr>
          <w:color w:val="auto"/>
        </w:rPr>
        <w:t>1</w:t>
      </w:r>
      <w:r w:rsidR="003407DF" w:rsidRPr="00A07C59">
        <w:rPr>
          <w:color w:val="auto"/>
        </w:rPr>
        <w:t>.</w:t>
      </w:r>
      <w:r w:rsidR="003407DF">
        <w:rPr>
          <w:color w:val="auto"/>
        </w:rPr>
        <w:t>6</w:t>
      </w:r>
      <w:r w:rsidR="003407DF" w:rsidRPr="00A07C59">
        <w:rPr>
          <w:color w:val="auto"/>
        </w:rPr>
        <w:t>.</w:t>
      </w:r>
      <w:r w:rsidR="007D33F0">
        <w:rPr>
          <w:color w:val="auto"/>
        </w:rPr>
        <w:t> </w:t>
      </w:r>
      <w:r w:rsidR="009B4BE9">
        <w:rPr>
          <w:color w:val="auto"/>
        </w:rPr>
        <w:t>apakšpunkta</w:t>
      </w:r>
      <w:r w:rsidR="003407DF">
        <w:rPr>
          <w:color w:val="auto"/>
        </w:rPr>
        <w:t xml:space="preserve"> nosacījumiem</w:t>
      </w:r>
      <w:r w:rsidR="001816D0">
        <w:rPr>
          <w:color w:val="auto"/>
        </w:rPr>
        <w:t>.</w:t>
      </w:r>
    </w:p>
    <w:p w14:paraId="28CF3B56" w14:textId="36E22D5A" w:rsidR="002C35D8" w:rsidRPr="00A07C59" w:rsidRDefault="002C35D8" w:rsidP="00A46200">
      <w:pPr>
        <w:pStyle w:val="Default"/>
        <w:spacing w:after="120"/>
        <w:jc w:val="both"/>
        <w:rPr>
          <w:color w:val="auto"/>
        </w:rPr>
      </w:pPr>
      <w:r w:rsidRPr="00A07C59">
        <w:rPr>
          <w:color w:val="auto"/>
        </w:rPr>
        <w:t>2.</w:t>
      </w:r>
      <w:r w:rsidR="00CA4BFF">
        <w:rPr>
          <w:color w:val="auto"/>
        </w:rPr>
        <w:t>3</w:t>
      </w:r>
      <w:r w:rsidRPr="00A07C59">
        <w:rPr>
          <w:color w:val="auto"/>
        </w:rPr>
        <w:t xml:space="preserve">. Izsoles dalībnieks iesniedz AS "Conexus Baltic Grid" Piedāvājumu, to nosūtot uz elektroniskā pasta adresi </w:t>
      </w:r>
      <w:r w:rsidR="00EA7BB1">
        <w:rPr>
          <w:color w:val="auto"/>
        </w:rPr>
        <w:t>auction</w:t>
      </w:r>
      <w:r w:rsidRPr="00A07C59">
        <w:rPr>
          <w:color w:val="auto"/>
        </w:rPr>
        <w:t xml:space="preserve">@conexus.lv </w:t>
      </w:r>
      <w:r w:rsidR="00B765AE">
        <w:rPr>
          <w:color w:val="auto"/>
        </w:rPr>
        <w:t xml:space="preserve">no </w:t>
      </w:r>
      <w:r w:rsidR="00716F52">
        <w:rPr>
          <w:color w:val="auto"/>
        </w:rPr>
        <w:t xml:space="preserve">2022. </w:t>
      </w:r>
      <w:r w:rsidR="00572846" w:rsidRPr="00572846">
        <w:rPr>
          <w:color w:val="auto"/>
        </w:rPr>
        <w:t xml:space="preserve">gada </w:t>
      </w:r>
      <w:r w:rsidR="002E6A93">
        <w:rPr>
          <w:color w:val="auto"/>
        </w:rPr>
        <w:t>26</w:t>
      </w:r>
      <w:r w:rsidR="008A5CD0">
        <w:rPr>
          <w:color w:val="auto"/>
        </w:rPr>
        <w:t xml:space="preserve">. </w:t>
      </w:r>
      <w:r w:rsidR="000C75BC">
        <w:rPr>
          <w:color w:val="auto"/>
        </w:rPr>
        <w:t>jūlija</w:t>
      </w:r>
      <w:r w:rsidR="00D12D9C">
        <w:rPr>
          <w:color w:val="auto"/>
        </w:rPr>
        <w:t xml:space="preserve"> </w:t>
      </w:r>
      <w:r w:rsidR="00572846" w:rsidRPr="00572846">
        <w:rPr>
          <w:color w:val="auto"/>
        </w:rPr>
        <w:t>plkst</w:t>
      </w:r>
      <w:r w:rsidRPr="00A07C59">
        <w:rPr>
          <w:color w:val="auto"/>
        </w:rPr>
        <w:t>.</w:t>
      </w:r>
      <w:r w:rsidR="00D04B69">
        <w:rPr>
          <w:color w:val="auto"/>
        </w:rPr>
        <w:t xml:space="preserve"> </w:t>
      </w:r>
      <w:r w:rsidRPr="00A07C59">
        <w:rPr>
          <w:color w:val="auto"/>
        </w:rPr>
        <w:t xml:space="preserve">12:00 līdz </w:t>
      </w:r>
      <w:bookmarkStart w:id="0" w:name="_Hlk91684832"/>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bookmarkEnd w:id="0"/>
      <w:r w:rsidRPr="00A07C59">
        <w:rPr>
          <w:color w:val="auto"/>
        </w:rPr>
        <w:t>.</w:t>
      </w:r>
      <w:r w:rsidR="007220A9">
        <w:rPr>
          <w:color w:val="auto"/>
        </w:rPr>
        <w:t xml:space="preserve"> </w:t>
      </w:r>
      <w:r w:rsidR="003407DF">
        <w:rPr>
          <w:color w:val="auto"/>
        </w:rPr>
        <w:t>13</w:t>
      </w:r>
      <w:r w:rsidRPr="00A07C59">
        <w:rPr>
          <w:color w:val="auto"/>
        </w:rPr>
        <w:t>:</w:t>
      </w:r>
      <w:r w:rsidR="003407DF">
        <w:rPr>
          <w:color w:val="auto"/>
        </w:rPr>
        <w:t>0</w:t>
      </w:r>
      <w:r w:rsidR="008267E5" w:rsidRPr="00A07C59">
        <w:rPr>
          <w:color w:val="auto"/>
        </w:rPr>
        <w:t xml:space="preserve">0 </w:t>
      </w:r>
      <w:r w:rsidRPr="00A07C59">
        <w:rPr>
          <w:color w:val="auto"/>
        </w:rPr>
        <w:t xml:space="preserve">(pēc Latvijas laika). </w:t>
      </w:r>
    </w:p>
    <w:p w14:paraId="31242AA9" w14:textId="2FD7C6B6" w:rsidR="002C35D8" w:rsidRPr="00A07C59" w:rsidRDefault="002C35D8" w:rsidP="00A46200">
      <w:pPr>
        <w:pStyle w:val="Default"/>
        <w:spacing w:after="120"/>
        <w:jc w:val="both"/>
        <w:rPr>
          <w:color w:val="auto"/>
        </w:rPr>
      </w:pPr>
      <w:r w:rsidRPr="00A07C59">
        <w:rPr>
          <w:color w:val="auto"/>
        </w:rPr>
        <w:t>2.</w:t>
      </w:r>
      <w:r w:rsidR="00DC5B12">
        <w:rPr>
          <w:color w:val="auto"/>
        </w:rPr>
        <w:t>4</w:t>
      </w:r>
      <w:r w:rsidRPr="00A07C59">
        <w:rPr>
          <w:color w:val="auto"/>
        </w:rPr>
        <w:t xml:space="preserve">. Izsoles dalībnieks ar vienu elektroniskā pasta sūtījumu iesniedz vienu Piedāvājumu. Ja ar vienu elektroniskā pasta sūtījumu tiek iesniegti vairāki Piedāvājumi, visus Izsoles dalībnieka iesniegtos Piedāvājumus AS "Conexus Baltic Grid" noraida un neizskata. </w:t>
      </w:r>
    </w:p>
    <w:p w14:paraId="23567796" w14:textId="353E3811" w:rsidR="00420A9C" w:rsidRDefault="002C35D8" w:rsidP="00A46200">
      <w:pPr>
        <w:pStyle w:val="Default"/>
        <w:spacing w:after="120"/>
        <w:jc w:val="both"/>
        <w:rPr>
          <w:color w:val="auto"/>
        </w:rPr>
      </w:pPr>
      <w:r w:rsidRPr="00A07C59">
        <w:rPr>
          <w:color w:val="auto"/>
        </w:rPr>
        <w:t>2.</w:t>
      </w:r>
      <w:r w:rsidR="00DC5B12">
        <w:rPr>
          <w:color w:val="auto"/>
        </w:rPr>
        <w:t>5</w:t>
      </w:r>
      <w:r w:rsidRPr="00A07C59">
        <w:rPr>
          <w:color w:val="auto"/>
        </w:rPr>
        <w:t>. Piedāvājums ir noformēts elektroniskā formātā (</w:t>
      </w:r>
      <w:r w:rsidR="00244494" w:rsidRPr="00E54720">
        <w:rPr>
          <w:sz w:val="25"/>
          <w:szCs w:val="25"/>
        </w:rPr>
        <w:t>.xlsx,</w:t>
      </w:r>
      <w:r w:rsidR="00A8154A">
        <w:rPr>
          <w:sz w:val="25"/>
          <w:szCs w:val="25"/>
        </w:rPr>
        <w:t xml:space="preserve"> </w:t>
      </w:r>
      <w:r w:rsidR="00244494">
        <w:rPr>
          <w:sz w:val="25"/>
          <w:szCs w:val="25"/>
        </w:rPr>
        <w:t>.</w:t>
      </w:r>
      <w:r w:rsidR="00244494" w:rsidRPr="00E54720">
        <w:rPr>
          <w:sz w:val="25"/>
          <w:szCs w:val="25"/>
        </w:rPr>
        <w:t xml:space="preserve">pdf vai </w:t>
      </w:r>
      <w:r w:rsidR="00244494">
        <w:rPr>
          <w:sz w:val="25"/>
          <w:szCs w:val="25"/>
        </w:rPr>
        <w:t>.</w:t>
      </w:r>
      <w:r w:rsidR="00244494" w:rsidRPr="00E54720">
        <w:rPr>
          <w:sz w:val="25"/>
          <w:szCs w:val="25"/>
        </w:rPr>
        <w:t>ods</w:t>
      </w:r>
      <w:r w:rsidRPr="00A07C59">
        <w:rPr>
          <w:color w:val="auto"/>
        </w:rPr>
        <w:t xml:space="preserve">), ievērojot normatīvos aktus par elektronisko dokumentu noformēšanu, parakstītu ar drošu elektronisko parakstu, kas satur laika zīmogu un ir aizsargāts ar </w:t>
      </w:r>
      <w:r w:rsidR="00E3412A">
        <w:rPr>
          <w:color w:val="auto"/>
        </w:rPr>
        <w:t>Microsoft Office vai Libre Office</w:t>
      </w:r>
      <w:r w:rsidRPr="00A07C59">
        <w:rPr>
          <w:color w:val="auto"/>
        </w:rPr>
        <w:t xml:space="preserve"> šifrēšanu, izmantojot paroli. </w:t>
      </w:r>
    </w:p>
    <w:p w14:paraId="1E431576" w14:textId="4A3441E1" w:rsidR="006650F3" w:rsidRPr="00A25FC7" w:rsidRDefault="00420A9C" w:rsidP="00A46200">
      <w:pPr>
        <w:pStyle w:val="Default"/>
        <w:spacing w:after="120"/>
        <w:jc w:val="both"/>
        <w:rPr>
          <w:color w:val="auto"/>
        </w:rPr>
      </w:pPr>
      <w:r>
        <w:rPr>
          <w:color w:val="auto"/>
        </w:rPr>
        <w:lastRenderedPageBreak/>
        <w:t xml:space="preserve">2.6. </w:t>
      </w:r>
      <w:r w:rsidR="004E54DB">
        <w:rPr>
          <w:color w:val="auto"/>
        </w:rPr>
        <w:t>Piedāvājumu iesniedz un paraksta Izsoles dalībnieka pārstāvis ar paraksta tiesībām vai tā pilnvarotā persona</w:t>
      </w:r>
      <w:r w:rsidR="009C46C4">
        <w:rPr>
          <w:color w:val="auto"/>
        </w:rPr>
        <w:t>.</w:t>
      </w:r>
      <w:r w:rsidR="006650F3">
        <w:rPr>
          <w:color w:val="auto"/>
        </w:rPr>
        <w:t xml:space="preserve"> </w:t>
      </w:r>
      <w:r w:rsidR="00A25FC7">
        <w:rPr>
          <w:color w:val="auto"/>
        </w:rPr>
        <w:t>Pārstāvību apliecinošā</w:t>
      </w:r>
      <w:r w:rsidR="00A25FC7" w:rsidRPr="00A25FC7">
        <w:rPr>
          <w:color w:val="auto"/>
        </w:rPr>
        <w:t xml:space="preserve"> dokumentā var tikt noteikts, ka attiecīgā persona ir tiesīga iesniegt un parakstīt piedāvājumus arī uz visām turpmākajām krātuves jaudas izsolēm jaudas produktiem, kuru izmantošanas perioda sākums ir </w:t>
      </w:r>
      <w:r w:rsidR="00716F52">
        <w:rPr>
          <w:color w:val="auto"/>
        </w:rPr>
        <w:t>2022</w:t>
      </w:r>
      <w:r w:rsidR="00716F52" w:rsidRPr="007E7CAB">
        <w:rPr>
          <w:color w:val="auto"/>
        </w:rPr>
        <w:t>./</w:t>
      </w:r>
      <w:r w:rsidR="00716F52">
        <w:rPr>
          <w:color w:val="auto"/>
        </w:rPr>
        <w:t>2023</w:t>
      </w:r>
      <w:r w:rsidR="00716F52" w:rsidRPr="007E7CAB">
        <w:rPr>
          <w:color w:val="auto"/>
        </w:rPr>
        <w:t>.</w:t>
      </w:r>
      <w:r w:rsidR="00716F52">
        <w:rPr>
          <w:color w:val="auto"/>
        </w:rPr>
        <w:t xml:space="preserve"> </w:t>
      </w:r>
      <w:r w:rsidR="00A25FC7" w:rsidRPr="00A25FC7">
        <w:rPr>
          <w:color w:val="auto"/>
        </w:rPr>
        <w:t xml:space="preserve">gada krātuves cikls, un par kurām AS </w:t>
      </w:r>
      <w:r w:rsidR="00826750" w:rsidRPr="00A07C59">
        <w:rPr>
          <w:color w:val="auto"/>
        </w:rPr>
        <w:t>"</w:t>
      </w:r>
      <w:r w:rsidR="00A25FC7" w:rsidRPr="00A25FC7">
        <w:rPr>
          <w:color w:val="auto"/>
        </w:rPr>
        <w:t>Conexus Baltic Grid</w:t>
      </w:r>
      <w:r w:rsidR="00826750" w:rsidRPr="00A07C59">
        <w:rPr>
          <w:color w:val="auto"/>
        </w:rPr>
        <w:t>"</w:t>
      </w:r>
      <w:r w:rsidR="00A25FC7" w:rsidRPr="00A25FC7">
        <w:rPr>
          <w:color w:val="auto"/>
        </w:rPr>
        <w:t xml:space="preserve"> savā tīmekļvietnē ir publicējis informāciju atbilstoši Krātuves lietošanas noteikumu 24.1. apakšpunktā noteiktajam.</w:t>
      </w:r>
    </w:p>
    <w:p w14:paraId="3D37CE71" w14:textId="1B1E6FB2" w:rsidR="002C35D8" w:rsidRPr="00A07C59" w:rsidRDefault="002C35D8" w:rsidP="00A46200">
      <w:pPr>
        <w:pStyle w:val="Default"/>
        <w:spacing w:after="120"/>
        <w:jc w:val="both"/>
        <w:rPr>
          <w:color w:val="auto"/>
        </w:rPr>
      </w:pPr>
      <w:r w:rsidRPr="00A07C59">
        <w:rPr>
          <w:color w:val="auto"/>
        </w:rPr>
        <w:t>2.</w:t>
      </w:r>
      <w:r w:rsidR="00420A9C">
        <w:rPr>
          <w:color w:val="auto"/>
        </w:rPr>
        <w:t>7</w:t>
      </w:r>
      <w:r w:rsidRPr="00A07C59">
        <w:rPr>
          <w:color w:val="auto"/>
        </w:rPr>
        <w:t xml:space="preserve">. Piedāvājumu var parakstīt ar elektronisko parakstu, ja starp AS "Conexus Baltic Grid" un </w:t>
      </w:r>
      <w:r w:rsidR="003407DF">
        <w:rPr>
          <w:color w:val="auto"/>
        </w:rPr>
        <w:t>Izsoles dalībnieku</w:t>
      </w:r>
      <w:r w:rsidRPr="00A07C59">
        <w:rPr>
          <w:color w:val="auto"/>
        </w:rPr>
        <w:t xml:space="preserve"> ir noslēgta atsevišķa vienošanās par dokumentu pieņemšanu un atzīšanu par saistošiem bez droša elektroniskā paraksta. Parakstot Piedāvājumu elektroniski, </w:t>
      </w:r>
      <w:r w:rsidR="003407DF">
        <w:rPr>
          <w:color w:val="auto"/>
        </w:rPr>
        <w:t>Izsoles dalībnieks</w:t>
      </w:r>
      <w:r w:rsidRPr="00A07C59">
        <w:rPr>
          <w:color w:val="auto"/>
        </w:rPr>
        <w:t xml:space="preserve"> ievēro šā Nolikuma 2.</w:t>
      </w:r>
      <w:r w:rsidR="00A92FDC">
        <w:rPr>
          <w:color w:val="auto"/>
        </w:rPr>
        <w:t>5</w:t>
      </w:r>
      <w:r w:rsidRPr="00A07C59">
        <w:rPr>
          <w:color w:val="auto"/>
        </w:rPr>
        <w:t>.</w:t>
      </w:r>
      <w:r w:rsidR="00D04B69">
        <w:rPr>
          <w:color w:val="auto"/>
        </w:rPr>
        <w:t xml:space="preserve"> </w:t>
      </w:r>
      <w:r w:rsidRPr="00A07C59">
        <w:rPr>
          <w:color w:val="auto"/>
        </w:rPr>
        <w:t xml:space="preserve">apakšpunktā noteiktās dokumentu noformēšanas un šifrēšanas prasības. </w:t>
      </w:r>
    </w:p>
    <w:p w14:paraId="20F78C29" w14:textId="76661A9A" w:rsidR="002C35D8" w:rsidRPr="00A07C59" w:rsidRDefault="002C35D8" w:rsidP="00A46200">
      <w:pPr>
        <w:pStyle w:val="Default"/>
        <w:spacing w:after="120"/>
        <w:jc w:val="both"/>
        <w:rPr>
          <w:color w:val="auto"/>
        </w:rPr>
      </w:pPr>
      <w:r w:rsidRPr="00A07C59">
        <w:rPr>
          <w:color w:val="auto"/>
        </w:rPr>
        <w:t>2.</w:t>
      </w:r>
      <w:r w:rsidR="00420A9C">
        <w:rPr>
          <w:color w:val="auto"/>
        </w:rPr>
        <w:t>8</w:t>
      </w:r>
      <w:r w:rsidRPr="00A07C59">
        <w:rPr>
          <w:color w:val="auto"/>
        </w:rPr>
        <w:t xml:space="preserve">. AS "Conexus Baltic Grid" nekavējoties, bet ne vēlāk kā līdz </w:t>
      </w:r>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r w:rsidR="007220A9">
        <w:rPr>
          <w:color w:val="auto"/>
        </w:rPr>
        <w:t xml:space="preserve"> </w:t>
      </w:r>
      <w:r w:rsidR="003407DF">
        <w:rPr>
          <w:color w:val="auto"/>
        </w:rPr>
        <w:t>13</w:t>
      </w:r>
      <w:r w:rsidRPr="00A07C59">
        <w:rPr>
          <w:color w:val="auto"/>
        </w:rPr>
        <w:t>:</w:t>
      </w:r>
      <w:r w:rsidR="003407DF">
        <w:rPr>
          <w:color w:val="auto"/>
        </w:rPr>
        <w:t>0</w:t>
      </w:r>
      <w:r w:rsidR="008267E5" w:rsidRPr="00A07C59">
        <w:rPr>
          <w:color w:val="auto"/>
        </w:rPr>
        <w:t xml:space="preserve">5 </w:t>
      </w:r>
      <w:r w:rsidRPr="00A07C59">
        <w:rPr>
          <w:color w:val="auto"/>
        </w:rPr>
        <w:t>(pēc Latvijas laika), elektroniski informē Izsoles dalībnieku par Piedāvājuma saņemšanu. Apliecinājums par Piedāvājuma saņemšanu nav uzskatāms par apliecinājumu, ka Izsoles dalībnieka iesniegtais Piedāvājums ir noformēts vai iesniegts atbilstoši š</w:t>
      </w:r>
      <w:r w:rsidR="00322D33">
        <w:rPr>
          <w:color w:val="auto"/>
        </w:rPr>
        <w:t>ā</w:t>
      </w:r>
      <w:r w:rsidRPr="00A07C59">
        <w:rPr>
          <w:color w:val="auto"/>
        </w:rPr>
        <w:t xml:space="preserve"> Nolikuma prasībām. </w:t>
      </w:r>
    </w:p>
    <w:p w14:paraId="53C8C2D5" w14:textId="6EA80708" w:rsidR="002C35D8" w:rsidRPr="00A07C59" w:rsidRDefault="002C35D8" w:rsidP="00A46200">
      <w:pPr>
        <w:pStyle w:val="Default"/>
        <w:spacing w:after="120"/>
        <w:jc w:val="both"/>
        <w:rPr>
          <w:color w:val="auto"/>
        </w:rPr>
      </w:pPr>
      <w:r w:rsidRPr="00A07C59">
        <w:rPr>
          <w:color w:val="auto"/>
        </w:rPr>
        <w:t>2.</w:t>
      </w:r>
      <w:r w:rsidR="00420A9C">
        <w:rPr>
          <w:color w:val="auto"/>
        </w:rPr>
        <w:t>9</w:t>
      </w:r>
      <w:r w:rsidRPr="00A07C59">
        <w:rPr>
          <w:color w:val="auto"/>
        </w:rPr>
        <w:t xml:space="preserve">. Izsoles dalībnieks no </w:t>
      </w:r>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r w:rsidR="007220A9">
        <w:rPr>
          <w:color w:val="auto"/>
        </w:rPr>
        <w:t xml:space="preserve"> </w:t>
      </w:r>
      <w:r w:rsidR="003407DF">
        <w:rPr>
          <w:color w:val="auto"/>
        </w:rPr>
        <w:t>13</w:t>
      </w:r>
      <w:r w:rsidRPr="00A07C59">
        <w:rPr>
          <w:color w:val="auto"/>
        </w:rPr>
        <w:t>:</w:t>
      </w:r>
      <w:r w:rsidR="003407DF">
        <w:rPr>
          <w:color w:val="auto"/>
        </w:rPr>
        <w:t>00</w:t>
      </w:r>
      <w:r w:rsidR="008267E5" w:rsidRPr="00A07C59">
        <w:rPr>
          <w:color w:val="auto"/>
        </w:rPr>
        <w:t xml:space="preserve"> </w:t>
      </w:r>
      <w:r w:rsidRPr="00A07C59">
        <w:rPr>
          <w:color w:val="auto"/>
        </w:rPr>
        <w:t xml:space="preserve">līdz </w:t>
      </w:r>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r w:rsidR="00D04B69">
        <w:rPr>
          <w:color w:val="auto"/>
        </w:rPr>
        <w:t xml:space="preserve"> </w:t>
      </w:r>
      <w:r w:rsidR="003407DF">
        <w:rPr>
          <w:color w:val="auto"/>
        </w:rPr>
        <w:t>14</w:t>
      </w:r>
      <w:r w:rsidRPr="00A07C59">
        <w:rPr>
          <w:color w:val="auto"/>
        </w:rPr>
        <w:t xml:space="preserve">:00 (pēc Latvijas laika) nosūta AS "Conexus Baltic Grid" Piedāvājuma datnes paroli uz elektroniskā pasta adresi </w:t>
      </w:r>
      <w:r w:rsidR="00EA7BB1">
        <w:rPr>
          <w:color w:val="auto"/>
        </w:rPr>
        <w:t>auction</w:t>
      </w:r>
      <w:r w:rsidRPr="00A07C59">
        <w:rPr>
          <w:color w:val="auto"/>
        </w:rPr>
        <w:t xml:space="preserve">@conexus.lv. AS "Conexus Baltic Grid" nekavējoties, bet ne vēlāk kā līdz </w:t>
      </w:r>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r w:rsidR="007220A9">
        <w:rPr>
          <w:color w:val="auto"/>
        </w:rPr>
        <w:t xml:space="preserve"> </w:t>
      </w:r>
      <w:r w:rsidR="00CA4BFF" w:rsidRPr="00A07C59">
        <w:rPr>
          <w:color w:val="auto"/>
        </w:rPr>
        <w:t>1</w:t>
      </w:r>
      <w:r w:rsidR="003407DF">
        <w:rPr>
          <w:color w:val="auto"/>
        </w:rPr>
        <w:t>4</w:t>
      </w:r>
      <w:r w:rsidRPr="00A07C59">
        <w:rPr>
          <w:color w:val="auto"/>
        </w:rPr>
        <w:t>:</w:t>
      </w:r>
      <w:r w:rsidR="005910AA" w:rsidRPr="00A07C59">
        <w:rPr>
          <w:color w:val="auto"/>
        </w:rPr>
        <w:t>0</w:t>
      </w:r>
      <w:r w:rsidR="005910AA">
        <w:rPr>
          <w:color w:val="auto"/>
        </w:rPr>
        <w:t>5</w:t>
      </w:r>
      <w:r w:rsidR="005910AA" w:rsidRPr="00A07C59">
        <w:rPr>
          <w:color w:val="auto"/>
        </w:rPr>
        <w:t xml:space="preserve"> </w:t>
      </w:r>
      <w:r w:rsidRPr="00A07C59">
        <w:rPr>
          <w:color w:val="auto"/>
        </w:rPr>
        <w:t xml:space="preserve">(pēc Latvijas laika), elektroniski informē Izsoles dalībnieku par elektroniski iesniegtās paroles saņemšanu. Ja Piedāvājuma datnes parole netiek iesniegta, ar to nav iespējams Piedāvājuma datni atvērt, vai Piedāvājuma </w:t>
      </w:r>
      <w:r w:rsidR="00322D33">
        <w:rPr>
          <w:color w:val="auto"/>
        </w:rPr>
        <w:t>datnes</w:t>
      </w:r>
      <w:r w:rsidR="00322D33" w:rsidRPr="00A07C59">
        <w:rPr>
          <w:color w:val="auto"/>
        </w:rPr>
        <w:t xml:space="preserve"> </w:t>
      </w:r>
      <w:r w:rsidRPr="00A07C59">
        <w:rPr>
          <w:color w:val="auto"/>
        </w:rPr>
        <w:t xml:space="preserve">parole tiek iesniegta ārpus šā apakšpunktā noteiktā termiņa, Piedāvājums netiek izskatīts. </w:t>
      </w:r>
    </w:p>
    <w:p w14:paraId="20F9B356" w14:textId="67B4D428" w:rsidR="002C35D8" w:rsidRPr="00A07C59" w:rsidRDefault="002C35D8" w:rsidP="00A46200">
      <w:pPr>
        <w:pStyle w:val="Default"/>
        <w:spacing w:after="120"/>
        <w:jc w:val="both"/>
        <w:rPr>
          <w:color w:val="auto"/>
        </w:rPr>
      </w:pPr>
      <w:r w:rsidRPr="00A07C59">
        <w:rPr>
          <w:color w:val="auto"/>
        </w:rPr>
        <w:t>2.</w:t>
      </w:r>
      <w:r w:rsidR="00420A9C">
        <w:rPr>
          <w:color w:val="auto"/>
        </w:rPr>
        <w:t>10</w:t>
      </w:r>
      <w:r w:rsidRPr="00A07C59">
        <w:rPr>
          <w:color w:val="auto"/>
        </w:rPr>
        <w:t xml:space="preserve">. </w:t>
      </w:r>
      <w:r w:rsidR="00D771A0">
        <w:rPr>
          <w:color w:val="auto"/>
        </w:rPr>
        <w:t xml:space="preserve">AS </w:t>
      </w:r>
      <w:r w:rsidR="00D771A0" w:rsidRPr="00B652FB">
        <w:rPr>
          <w:color w:val="auto"/>
        </w:rPr>
        <w:t>"</w:t>
      </w:r>
      <w:r w:rsidR="00D771A0">
        <w:rPr>
          <w:color w:val="auto"/>
        </w:rPr>
        <w:t>Conexus Baltic Grid</w:t>
      </w:r>
      <w:r w:rsidR="00D771A0" w:rsidRPr="00B652FB">
        <w:rPr>
          <w:color w:val="auto"/>
        </w:rPr>
        <w:t>"</w:t>
      </w:r>
      <w:r w:rsidR="00D771A0">
        <w:rPr>
          <w:color w:val="auto"/>
        </w:rPr>
        <w:t xml:space="preserve"> iesniegtos Piedāvājumus atver pēc šā Nolikuma 2.</w:t>
      </w:r>
      <w:r w:rsidR="00420A9C">
        <w:rPr>
          <w:color w:val="auto"/>
        </w:rPr>
        <w:t>9</w:t>
      </w:r>
      <w:r w:rsidR="00D771A0">
        <w:rPr>
          <w:color w:val="auto"/>
        </w:rPr>
        <w:t>.</w:t>
      </w:r>
      <w:r w:rsidR="007220A9">
        <w:rPr>
          <w:color w:val="auto"/>
        </w:rPr>
        <w:t xml:space="preserve"> </w:t>
      </w:r>
      <w:r w:rsidR="00D771A0">
        <w:rPr>
          <w:color w:val="auto"/>
        </w:rPr>
        <w:t xml:space="preserve">apakšpunktā noteiktās Piedāvājuma datnes paroles iesūtīšanas termiņa beigām. </w:t>
      </w:r>
      <w:r w:rsidRPr="00A07C59">
        <w:rPr>
          <w:color w:val="auto"/>
        </w:rPr>
        <w:t>AS "Conexus Baltic Grid" atver tikai tos Piedāvājumus, kuri saņemti šā Nolikuma 2.</w:t>
      </w:r>
      <w:r w:rsidR="00A92FDC">
        <w:rPr>
          <w:color w:val="auto"/>
        </w:rPr>
        <w:t>3</w:t>
      </w:r>
      <w:r w:rsidRPr="00A07C59">
        <w:rPr>
          <w:color w:val="auto"/>
        </w:rPr>
        <w:t>.</w:t>
      </w:r>
      <w:r w:rsidR="007220A9">
        <w:rPr>
          <w:color w:val="auto"/>
        </w:rPr>
        <w:t xml:space="preserve"> </w:t>
      </w:r>
      <w:r w:rsidRPr="00A07C59">
        <w:rPr>
          <w:color w:val="auto"/>
        </w:rPr>
        <w:t>apakšpunktā noteiktajā termiņā. Visi pēc šā nolikuma 2.</w:t>
      </w:r>
      <w:r w:rsidR="00A92FDC">
        <w:rPr>
          <w:color w:val="auto"/>
        </w:rPr>
        <w:t>3</w:t>
      </w:r>
      <w:r w:rsidRPr="00A07C59">
        <w:rPr>
          <w:color w:val="auto"/>
        </w:rPr>
        <w:t>.</w:t>
      </w:r>
      <w:r w:rsidR="007220A9">
        <w:rPr>
          <w:color w:val="auto"/>
        </w:rPr>
        <w:t xml:space="preserve"> </w:t>
      </w:r>
      <w:r w:rsidRPr="00A07C59">
        <w:rPr>
          <w:color w:val="auto"/>
        </w:rPr>
        <w:t xml:space="preserve">apakšpunktā minētā termiņa saņemtie Piedāvājumi un Piedāvājumi, kuri no </w:t>
      </w:r>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r w:rsidR="007220A9">
        <w:rPr>
          <w:color w:val="auto"/>
        </w:rPr>
        <w:t xml:space="preserve"> </w:t>
      </w:r>
      <w:r w:rsidR="003407DF">
        <w:rPr>
          <w:color w:val="auto"/>
        </w:rPr>
        <w:t>12</w:t>
      </w:r>
      <w:r w:rsidRPr="00A07C59">
        <w:rPr>
          <w:color w:val="auto"/>
        </w:rPr>
        <w:t xml:space="preserve">:00 </w:t>
      </w:r>
      <w:r w:rsidR="00A46200" w:rsidRPr="00A07C59">
        <w:rPr>
          <w:color w:val="auto"/>
        </w:rPr>
        <w:t>l</w:t>
      </w:r>
      <w:r w:rsidRPr="00A07C59">
        <w:rPr>
          <w:color w:val="auto"/>
        </w:rPr>
        <w:t xml:space="preserve">īdz </w:t>
      </w:r>
      <w:r w:rsidR="00716F52">
        <w:rPr>
          <w:color w:val="auto"/>
        </w:rPr>
        <w:t xml:space="preserve">2022. </w:t>
      </w:r>
      <w:r w:rsidR="00247869" w:rsidRPr="00A07C59">
        <w:rPr>
          <w:color w:val="auto"/>
        </w:rPr>
        <w:t xml:space="preserve">gada </w:t>
      </w:r>
      <w:r w:rsidR="002E6A93">
        <w:rPr>
          <w:color w:val="auto"/>
        </w:rPr>
        <w:t>26</w:t>
      </w:r>
      <w:r w:rsidR="008A5CD0">
        <w:rPr>
          <w:color w:val="auto"/>
        </w:rPr>
        <w:t xml:space="preserve">. </w:t>
      </w:r>
      <w:r w:rsidR="000C75BC">
        <w:rPr>
          <w:color w:val="auto"/>
        </w:rPr>
        <w:t>jūlija</w:t>
      </w:r>
      <w:r w:rsidR="008A5CD0">
        <w:rPr>
          <w:color w:val="auto"/>
        </w:rPr>
        <w:t xml:space="preserve"> </w:t>
      </w:r>
      <w:r w:rsidRPr="00A07C59">
        <w:rPr>
          <w:color w:val="auto"/>
        </w:rPr>
        <w:t>plkst.</w:t>
      </w:r>
      <w:r w:rsidR="003407DF">
        <w:rPr>
          <w:color w:val="auto"/>
        </w:rPr>
        <w:t>13</w:t>
      </w:r>
      <w:r w:rsidRPr="00A07C59">
        <w:rPr>
          <w:color w:val="auto"/>
        </w:rPr>
        <w:t>:</w:t>
      </w:r>
      <w:r w:rsidR="003407DF">
        <w:rPr>
          <w:color w:val="auto"/>
        </w:rPr>
        <w:t>0</w:t>
      </w:r>
      <w:r w:rsidRPr="00A07C59">
        <w:rPr>
          <w:color w:val="auto"/>
        </w:rPr>
        <w:t xml:space="preserve">0 </w:t>
      </w:r>
      <w:r w:rsidR="003407DF">
        <w:rPr>
          <w:color w:val="auto"/>
        </w:rPr>
        <w:t xml:space="preserve">(pēc Latvijas laika) </w:t>
      </w:r>
      <w:r w:rsidRPr="00A07C59">
        <w:rPr>
          <w:color w:val="auto"/>
        </w:rPr>
        <w:t xml:space="preserve">ir atsaukti, netiek </w:t>
      </w:r>
      <w:r w:rsidR="00EA7BB1">
        <w:rPr>
          <w:color w:val="auto"/>
        </w:rPr>
        <w:t>izskatīti</w:t>
      </w:r>
      <w:r w:rsidR="00B652FB">
        <w:rPr>
          <w:color w:val="auto"/>
        </w:rPr>
        <w:t>.</w:t>
      </w:r>
    </w:p>
    <w:p w14:paraId="2661A85C" w14:textId="6F482A08" w:rsidR="002C35D8" w:rsidRPr="00A07C59" w:rsidRDefault="002C35D8" w:rsidP="00A46200">
      <w:pPr>
        <w:pStyle w:val="Default"/>
        <w:spacing w:after="120"/>
        <w:jc w:val="both"/>
        <w:rPr>
          <w:color w:val="auto"/>
        </w:rPr>
      </w:pPr>
      <w:r w:rsidRPr="00A07C59">
        <w:rPr>
          <w:color w:val="auto"/>
        </w:rPr>
        <w:t>2.</w:t>
      </w:r>
      <w:r w:rsidR="006740E7">
        <w:rPr>
          <w:color w:val="auto"/>
        </w:rPr>
        <w:t>1</w:t>
      </w:r>
      <w:r w:rsidR="00420A9C">
        <w:rPr>
          <w:color w:val="auto"/>
        </w:rPr>
        <w:t>1</w:t>
      </w:r>
      <w:r w:rsidRPr="00A07C59">
        <w:rPr>
          <w:color w:val="auto"/>
        </w:rPr>
        <w:t>. Izsoles dalībnieks var atsaukt iesniegto Piedāvājumu līdz Piedāvājuma iesniegšanas termiņa beigām, kas noteikts šā Nolikuma 2.</w:t>
      </w:r>
      <w:r w:rsidR="00A92FDC">
        <w:rPr>
          <w:color w:val="auto"/>
        </w:rPr>
        <w:t>3</w:t>
      </w:r>
      <w:r w:rsidRPr="00A07C59">
        <w:rPr>
          <w:color w:val="auto"/>
        </w:rPr>
        <w:t>.</w:t>
      </w:r>
      <w:r w:rsidR="007220A9">
        <w:rPr>
          <w:color w:val="auto"/>
        </w:rPr>
        <w:t xml:space="preserve"> </w:t>
      </w:r>
      <w:r w:rsidRPr="00A07C59">
        <w:rPr>
          <w:color w:val="auto"/>
        </w:rPr>
        <w:t>apakšpunktā. Ja Izsoles dalībnieks Piedāvājumu atsauc pēc Nolikuma 2.</w:t>
      </w:r>
      <w:r w:rsidR="00A92FDC">
        <w:rPr>
          <w:color w:val="auto"/>
        </w:rPr>
        <w:t>3</w:t>
      </w:r>
      <w:r w:rsidRPr="00A07C59">
        <w:rPr>
          <w:color w:val="auto"/>
        </w:rPr>
        <w:t>.</w:t>
      </w:r>
      <w:r w:rsidR="007220A9">
        <w:rPr>
          <w:color w:val="auto"/>
        </w:rPr>
        <w:t xml:space="preserve"> </w:t>
      </w:r>
      <w:r w:rsidRPr="00A07C59">
        <w:rPr>
          <w:color w:val="auto"/>
        </w:rPr>
        <w:t>apakšpunktā minētā termiņa, Piedāvājums tiek vērtēts saskaņā ar šā Nolikuma 4.</w:t>
      </w:r>
      <w:r w:rsidR="007220A9">
        <w:rPr>
          <w:color w:val="auto"/>
        </w:rPr>
        <w:t xml:space="preserve"> </w:t>
      </w:r>
      <w:r w:rsidRPr="00A07C59">
        <w:rPr>
          <w:color w:val="auto"/>
        </w:rPr>
        <w:t xml:space="preserve">punktu un Izsoles dalībniekam ir saistoši Izsoles rezultāti un saistību apmērs, ko AS "Conexus Baltic Grid" paziņo saskaņā ar šā Nolikuma </w:t>
      </w:r>
      <w:r w:rsidR="00E0361F">
        <w:rPr>
          <w:color w:val="auto"/>
        </w:rPr>
        <w:t>5</w:t>
      </w:r>
      <w:r w:rsidRPr="00A07C59">
        <w:rPr>
          <w:color w:val="auto"/>
        </w:rPr>
        <w:t>.</w:t>
      </w:r>
      <w:r w:rsidR="007220A9">
        <w:rPr>
          <w:color w:val="auto"/>
        </w:rPr>
        <w:t xml:space="preserve"> </w:t>
      </w:r>
      <w:r w:rsidRPr="00A07C59">
        <w:rPr>
          <w:color w:val="auto"/>
        </w:rPr>
        <w:t xml:space="preserve">punktu. </w:t>
      </w:r>
    </w:p>
    <w:p w14:paraId="0B849B28" w14:textId="3E816B98" w:rsidR="002C35D8" w:rsidRPr="00440396" w:rsidRDefault="002C35D8" w:rsidP="00A46200">
      <w:pPr>
        <w:pStyle w:val="Default"/>
        <w:spacing w:after="120"/>
        <w:jc w:val="both"/>
        <w:rPr>
          <w:color w:val="auto"/>
        </w:rPr>
      </w:pPr>
      <w:r w:rsidRPr="00A07C59">
        <w:rPr>
          <w:color w:val="auto"/>
        </w:rPr>
        <w:t>2.</w:t>
      </w:r>
      <w:r w:rsidR="006740E7">
        <w:rPr>
          <w:color w:val="auto"/>
        </w:rPr>
        <w:t>1</w:t>
      </w:r>
      <w:r w:rsidR="00420A9C">
        <w:rPr>
          <w:color w:val="auto"/>
        </w:rPr>
        <w:t>2</w:t>
      </w:r>
      <w:r w:rsidRPr="00A07C59">
        <w:rPr>
          <w:color w:val="auto"/>
        </w:rPr>
        <w:t xml:space="preserve">. </w:t>
      </w:r>
      <w:r w:rsidRPr="00440396">
        <w:rPr>
          <w:color w:val="auto"/>
        </w:rPr>
        <w:t>Piedāvājuma saturs un informācija par Piedāvājuma iesniegšanas un izvērtēšanas gaitu ir ierobežotas pieejamības informācija, kas par tādu uzskatāma saskaņā ar Enerģētikas likuma 112.</w:t>
      </w:r>
      <w:r w:rsidR="007220A9">
        <w:rPr>
          <w:color w:val="auto"/>
        </w:rPr>
        <w:t xml:space="preserve"> </w:t>
      </w:r>
      <w:r w:rsidRPr="00440396">
        <w:rPr>
          <w:color w:val="auto"/>
        </w:rPr>
        <w:t>panta 18.</w:t>
      </w:r>
      <w:r w:rsidR="007220A9">
        <w:rPr>
          <w:color w:val="auto"/>
        </w:rPr>
        <w:t xml:space="preserve"> </w:t>
      </w:r>
      <w:r w:rsidRPr="00440396">
        <w:rPr>
          <w:color w:val="auto"/>
        </w:rPr>
        <w:t>punktu, Komercnoslēpuma aizsardzības likuma 2.</w:t>
      </w:r>
      <w:r w:rsidR="007220A9">
        <w:rPr>
          <w:color w:val="auto"/>
        </w:rPr>
        <w:t xml:space="preserve"> </w:t>
      </w:r>
      <w:r w:rsidRPr="00440396">
        <w:rPr>
          <w:color w:val="auto"/>
        </w:rPr>
        <w:t>pantu un Informācijas atklātības likuma 5.</w:t>
      </w:r>
      <w:r w:rsidR="007220A9">
        <w:rPr>
          <w:color w:val="auto"/>
        </w:rPr>
        <w:t xml:space="preserve"> </w:t>
      </w:r>
      <w:r w:rsidRPr="00440396">
        <w:rPr>
          <w:color w:val="auto"/>
        </w:rPr>
        <w:t>panta otrās daļas 3.</w:t>
      </w:r>
      <w:r w:rsidR="007220A9">
        <w:rPr>
          <w:color w:val="auto"/>
        </w:rPr>
        <w:t xml:space="preserve"> </w:t>
      </w:r>
      <w:r w:rsidRPr="00440396">
        <w:rPr>
          <w:color w:val="auto"/>
        </w:rPr>
        <w:t xml:space="preserve">punktu. </w:t>
      </w:r>
    </w:p>
    <w:p w14:paraId="7940F6D0" w14:textId="06097546" w:rsidR="002C35D8" w:rsidRPr="00440396" w:rsidRDefault="002C35D8" w:rsidP="00A46200">
      <w:pPr>
        <w:pStyle w:val="Default"/>
        <w:spacing w:after="120"/>
        <w:jc w:val="both"/>
        <w:rPr>
          <w:color w:val="auto"/>
        </w:rPr>
      </w:pPr>
      <w:r w:rsidRPr="00440396">
        <w:rPr>
          <w:color w:val="auto"/>
        </w:rPr>
        <w:t>2.</w:t>
      </w:r>
      <w:r w:rsidR="006740E7">
        <w:rPr>
          <w:color w:val="auto"/>
        </w:rPr>
        <w:t>1</w:t>
      </w:r>
      <w:r w:rsidR="00420A9C">
        <w:rPr>
          <w:color w:val="auto"/>
        </w:rPr>
        <w:t>3</w:t>
      </w:r>
      <w:r w:rsidRPr="00440396">
        <w:rPr>
          <w:color w:val="auto"/>
        </w:rPr>
        <w:t xml:space="preserve">. AS "Conexus Baltic Grid" pēc Piedāvājumu atvēršanas var pieprasīt no Izsoles dalībnieka </w:t>
      </w:r>
      <w:r w:rsidR="00EA7BB1" w:rsidRPr="00224E22">
        <w:t xml:space="preserve">papildu informāciju </w:t>
      </w:r>
      <w:r w:rsidRPr="00440396">
        <w:rPr>
          <w:color w:val="auto"/>
        </w:rPr>
        <w:t xml:space="preserve">par viņa iesniegto Piedāvājumu. Izsoles dalībnieks </w:t>
      </w:r>
      <w:r w:rsidR="006376F1">
        <w:rPr>
          <w:color w:val="auto"/>
        </w:rPr>
        <w:t>atbildi uz papildu informācijas pieprasījumu</w:t>
      </w:r>
      <w:r w:rsidR="006376F1" w:rsidRPr="00440396">
        <w:rPr>
          <w:color w:val="auto"/>
        </w:rPr>
        <w:t xml:space="preserve"> </w:t>
      </w:r>
      <w:r w:rsidRPr="00440396">
        <w:rPr>
          <w:color w:val="auto"/>
        </w:rPr>
        <w:t xml:space="preserve">nosūta AS "Conexus Baltic Grid" elektroniski </w:t>
      </w:r>
      <w:r w:rsidR="0053633F">
        <w:rPr>
          <w:color w:val="auto"/>
        </w:rPr>
        <w:t>papildu informācijas</w:t>
      </w:r>
      <w:r w:rsidR="0053633F" w:rsidRPr="00440396">
        <w:rPr>
          <w:color w:val="auto"/>
        </w:rPr>
        <w:t xml:space="preserve"> </w:t>
      </w:r>
      <w:r w:rsidRPr="00440396">
        <w:rPr>
          <w:color w:val="auto"/>
        </w:rPr>
        <w:t>pieprasījumā norādītajā termiņā</w:t>
      </w:r>
      <w:r w:rsidR="0053633F">
        <w:rPr>
          <w:color w:val="auto"/>
        </w:rPr>
        <w:t xml:space="preserve">, kas nevar būt īsāks par </w:t>
      </w:r>
      <w:r w:rsidR="001240E5">
        <w:rPr>
          <w:color w:val="auto"/>
        </w:rPr>
        <w:t>1</w:t>
      </w:r>
      <w:r w:rsidR="0053633F">
        <w:rPr>
          <w:color w:val="auto"/>
        </w:rPr>
        <w:t xml:space="preserve"> (vienu)</w:t>
      </w:r>
      <w:r w:rsidR="001240E5">
        <w:rPr>
          <w:color w:val="auto"/>
        </w:rPr>
        <w:t xml:space="preserve"> stund</w:t>
      </w:r>
      <w:r w:rsidR="0053633F">
        <w:rPr>
          <w:color w:val="auto"/>
        </w:rPr>
        <w:t>u</w:t>
      </w:r>
      <w:r w:rsidRPr="00440396">
        <w:rPr>
          <w:color w:val="auto"/>
        </w:rPr>
        <w:t xml:space="preserve">. </w:t>
      </w:r>
    </w:p>
    <w:p w14:paraId="4C498CFC" w14:textId="33E4A3BF" w:rsidR="002C35D8" w:rsidRPr="00440396" w:rsidRDefault="002C35D8" w:rsidP="00A46200">
      <w:pPr>
        <w:pStyle w:val="Default"/>
        <w:spacing w:after="120"/>
        <w:jc w:val="both"/>
        <w:rPr>
          <w:color w:val="auto"/>
        </w:rPr>
      </w:pPr>
      <w:r w:rsidRPr="00440396">
        <w:rPr>
          <w:color w:val="auto"/>
        </w:rPr>
        <w:t>2.</w:t>
      </w:r>
      <w:r w:rsidR="006740E7">
        <w:rPr>
          <w:color w:val="auto"/>
        </w:rPr>
        <w:t>1</w:t>
      </w:r>
      <w:r w:rsidR="00420A9C">
        <w:rPr>
          <w:color w:val="auto"/>
        </w:rPr>
        <w:t>4</w:t>
      </w:r>
      <w:r w:rsidRPr="00440396">
        <w:rPr>
          <w:color w:val="auto"/>
        </w:rPr>
        <w:t xml:space="preserve">. Izsoles dalībnieks Piedāvājuma ietvaros var iekļaut vairākus cenas solījuma piedāvājumus par Izsoles dalībnieka brīvi izvēlētu krātuves jaudas apjomu (turpmāk – Solījums). </w:t>
      </w:r>
    </w:p>
    <w:p w14:paraId="3CB29077" w14:textId="656A9B65" w:rsidR="002C35D8" w:rsidRPr="00440396" w:rsidRDefault="002C35D8" w:rsidP="00A46200">
      <w:pPr>
        <w:pStyle w:val="Default"/>
        <w:spacing w:after="120"/>
        <w:jc w:val="both"/>
        <w:rPr>
          <w:color w:val="auto"/>
        </w:rPr>
      </w:pPr>
      <w:r w:rsidRPr="00440396">
        <w:rPr>
          <w:color w:val="auto"/>
        </w:rPr>
        <w:t>2.</w:t>
      </w:r>
      <w:r w:rsidR="006740E7">
        <w:rPr>
          <w:color w:val="auto"/>
        </w:rPr>
        <w:t>1</w:t>
      </w:r>
      <w:r w:rsidR="00420A9C">
        <w:rPr>
          <w:color w:val="auto"/>
        </w:rPr>
        <w:t>5</w:t>
      </w:r>
      <w:r w:rsidRPr="00440396">
        <w:rPr>
          <w:color w:val="auto"/>
        </w:rPr>
        <w:t xml:space="preserve">. </w:t>
      </w:r>
      <w:r w:rsidR="00244494" w:rsidRPr="00E54720">
        <w:rPr>
          <w:sz w:val="25"/>
          <w:szCs w:val="25"/>
        </w:rPr>
        <w:t xml:space="preserve">Izsoles dalībnieks Solījumu izteic pieprasītā Jaudas produkta apjomam, kas nav mazāks par 1 </w:t>
      </w:r>
      <w:r w:rsidR="00FE346B">
        <w:rPr>
          <w:color w:val="auto"/>
        </w:rPr>
        <w:t xml:space="preserve">(vienu) </w:t>
      </w:r>
      <w:r w:rsidR="00244494" w:rsidRPr="00E54720">
        <w:rPr>
          <w:sz w:val="25"/>
          <w:szCs w:val="25"/>
        </w:rPr>
        <w:t>MWh un lielāks par šā Nolikuma 1.5.</w:t>
      </w:r>
      <w:r w:rsidR="003861E5">
        <w:rPr>
          <w:sz w:val="25"/>
          <w:szCs w:val="25"/>
        </w:rPr>
        <w:t xml:space="preserve"> </w:t>
      </w:r>
      <w:r w:rsidR="00244494" w:rsidRPr="00E54720">
        <w:rPr>
          <w:sz w:val="25"/>
          <w:szCs w:val="25"/>
        </w:rPr>
        <w:t>apakšpunktā noteikto Jaudas produkta maksimāli pieejamo krātuves jaudas apjomu un kas ir noapaļots līdz veselam skaitlim.</w:t>
      </w:r>
      <w:r w:rsidRPr="00440396">
        <w:rPr>
          <w:color w:val="auto"/>
        </w:rPr>
        <w:t xml:space="preserve"> </w:t>
      </w:r>
    </w:p>
    <w:p w14:paraId="295CF4CE" w14:textId="1782BED0" w:rsidR="002C35D8" w:rsidRPr="00440396" w:rsidRDefault="002C35D8" w:rsidP="00A46200">
      <w:pPr>
        <w:pStyle w:val="Default"/>
        <w:spacing w:after="120"/>
        <w:jc w:val="both"/>
        <w:rPr>
          <w:color w:val="auto"/>
        </w:rPr>
      </w:pPr>
      <w:r w:rsidRPr="00440396">
        <w:rPr>
          <w:color w:val="auto"/>
        </w:rPr>
        <w:lastRenderedPageBreak/>
        <w:t>2.</w:t>
      </w:r>
      <w:r w:rsidR="006740E7">
        <w:rPr>
          <w:color w:val="auto"/>
        </w:rPr>
        <w:t>1</w:t>
      </w:r>
      <w:r w:rsidR="00420A9C">
        <w:rPr>
          <w:color w:val="auto"/>
        </w:rPr>
        <w:t>6</w:t>
      </w:r>
      <w:r w:rsidRPr="00440396">
        <w:rPr>
          <w:color w:val="auto"/>
        </w:rPr>
        <w:t xml:space="preserve">. Izsoles dalībnieks Piedāvājumā norāda, vai pieprasītais </w:t>
      </w:r>
      <w:r w:rsidR="007848D7">
        <w:rPr>
          <w:color w:val="auto"/>
        </w:rPr>
        <w:t>J</w:t>
      </w:r>
      <w:r w:rsidRPr="00440396">
        <w:rPr>
          <w:color w:val="auto"/>
        </w:rPr>
        <w:t>audas produkta apjoms ir uzskatāms par fiksētu vai mainīgu, lai izvairītos no maznozīmīga krātuves jaudas apjoma piešķiršanas, ja iestājas šā Nolikuma 4.</w:t>
      </w:r>
      <w:r w:rsidR="00054A25">
        <w:rPr>
          <w:color w:val="auto"/>
        </w:rPr>
        <w:t>4</w:t>
      </w:r>
      <w:r w:rsidRPr="00440396">
        <w:rPr>
          <w:color w:val="auto"/>
        </w:rPr>
        <w:t>.2.</w:t>
      </w:r>
      <w:r w:rsidR="003861E5">
        <w:rPr>
          <w:color w:val="auto"/>
        </w:rPr>
        <w:t xml:space="preserve"> </w:t>
      </w:r>
      <w:r w:rsidRPr="00440396">
        <w:rPr>
          <w:color w:val="auto"/>
        </w:rPr>
        <w:t xml:space="preserve">apakšpunktā noteiktie apstākļi. </w:t>
      </w:r>
    </w:p>
    <w:p w14:paraId="6E2858ED" w14:textId="0DDEE45E" w:rsidR="002C35D8" w:rsidRPr="00A07C59" w:rsidRDefault="002C35D8" w:rsidP="00A46200">
      <w:pPr>
        <w:pStyle w:val="Default"/>
        <w:spacing w:after="120"/>
        <w:jc w:val="both"/>
        <w:rPr>
          <w:color w:val="auto"/>
        </w:rPr>
      </w:pPr>
      <w:r w:rsidRPr="00440396">
        <w:rPr>
          <w:color w:val="auto"/>
        </w:rPr>
        <w:t>2.</w:t>
      </w:r>
      <w:r w:rsidR="00DC5B12">
        <w:rPr>
          <w:color w:val="auto"/>
        </w:rPr>
        <w:t>1</w:t>
      </w:r>
      <w:r w:rsidR="00420A9C">
        <w:rPr>
          <w:color w:val="auto"/>
        </w:rPr>
        <w:t>7</w:t>
      </w:r>
      <w:r w:rsidRPr="00440396">
        <w:rPr>
          <w:color w:val="auto"/>
        </w:rPr>
        <w:t>. Šā Nolikuma 2.</w:t>
      </w:r>
      <w:r w:rsidR="00A62F5D">
        <w:rPr>
          <w:color w:val="auto"/>
        </w:rPr>
        <w:t>3</w:t>
      </w:r>
      <w:r w:rsidRPr="00440396">
        <w:rPr>
          <w:color w:val="auto"/>
        </w:rPr>
        <w:t>.</w:t>
      </w:r>
      <w:r w:rsidR="003861E5">
        <w:rPr>
          <w:color w:val="auto"/>
        </w:rPr>
        <w:t xml:space="preserve"> </w:t>
      </w:r>
      <w:r w:rsidRPr="00440396">
        <w:rPr>
          <w:color w:val="auto"/>
        </w:rPr>
        <w:t>apakšpunktā</w:t>
      </w:r>
      <w:r w:rsidRPr="00A07C59">
        <w:rPr>
          <w:color w:val="auto"/>
        </w:rPr>
        <w:t xml:space="preserve"> noteiktajā termiņā Izsoles dalībnieks var iesniegt jaunu Piedāvājumu. AS "Conexus Baltic Grid", vērtējot Piedāvājumu</w:t>
      </w:r>
      <w:r w:rsidR="00CC1FA4">
        <w:rPr>
          <w:color w:val="auto"/>
        </w:rPr>
        <w:t>s</w:t>
      </w:r>
      <w:r w:rsidRPr="00A07C59">
        <w:rPr>
          <w:color w:val="auto"/>
        </w:rPr>
        <w:t xml:space="preserve"> saskaņā ar šā Nolikuma 4.punktu, izmanto pēdējo Izsoles dalībnieka iesniegto Piedāvājumu. </w:t>
      </w:r>
    </w:p>
    <w:p w14:paraId="1CE870FD" w14:textId="3AEBA378" w:rsidR="002C35D8" w:rsidRPr="00A07C59" w:rsidRDefault="002C35D8" w:rsidP="00A46200">
      <w:pPr>
        <w:pStyle w:val="Default"/>
        <w:spacing w:after="120"/>
        <w:jc w:val="both"/>
        <w:rPr>
          <w:color w:val="auto"/>
        </w:rPr>
      </w:pPr>
      <w:r w:rsidRPr="00A07C59">
        <w:rPr>
          <w:color w:val="auto"/>
        </w:rPr>
        <w:t>2.</w:t>
      </w:r>
      <w:r w:rsidR="00DC5B12">
        <w:rPr>
          <w:color w:val="auto"/>
        </w:rPr>
        <w:t>1</w:t>
      </w:r>
      <w:r w:rsidR="00420A9C">
        <w:rPr>
          <w:color w:val="auto"/>
        </w:rPr>
        <w:t>8</w:t>
      </w:r>
      <w:r w:rsidRPr="00A07C59">
        <w:rPr>
          <w:color w:val="auto"/>
        </w:rPr>
        <w:t>. AS "Conexus Baltic Grid" noraida Piedāvājumu, ja tas neatbilst šajā Nolikumā noteiktajām prasībām</w:t>
      </w:r>
      <w:r w:rsidR="001816D0">
        <w:rPr>
          <w:color w:val="auto"/>
        </w:rPr>
        <w:t>.</w:t>
      </w:r>
    </w:p>
    <w:p w14:paraId="1C435B2D" w14:textId="7CEB0AB5" w:rsidR="002C35D8" w:rsidRPr="00A07C59" w:rsidRDefault="002C35D8" w:rsidP="00A46200">
      <w:pPr>
        <w:pStyle w:val="Default"/>
        <w:spacing w:after="120"/>
        <w:jc w:val="both"/>
        <w:rPr>
          <w:color w:val="auto"/>
        </w:rPr>
      </w:pPr>
      <w:r w:rsidRPr="00A07C59">
        <w:rPr>
          <w:color w:val="auto"/>
        </w:rPr>
        <w:t>2.</w:t>
      </w:r>
      <w:r w:rsidR="00DC5B12">
        <w:rPr>
          <w:color w:val="auto"/>
        </w:rPr>
        <w:t>1</w:t>
      </w:r>
      <w:r w:rsidR="00420A9C">
        <w:rPr>
          <w:color w:val="auto"/>
        </w:rPr>
        <w:t>9</w:t>
      </w:r>
      <w:r w:rsidRPr="00A07C59">
        <w:rPr>
          <w:color w:val="auto"/>
        </w:rPr>
        <w:t xml:space="preserve">. AS "Conexus Baltic Grid" var pārtraukt Izsoli jebkurā laikā, ja tam ir objektīvs pamatojums. </w:t>
      </w:r>
    </w:p>
    <w:p w14:paraId="5F0D88D7" w14:textId="6006B2F8" w:rsidR="002C35D8" w:rsidRPr="00A07C59" w:rsidRDefault="002C35D8" w:rsidP="00A46200">
      <w:pPr>
        <w:pStyle w:val="Default"/>
        <w:spacing w:after="120"/>
        <w:jc w:val="both"/>
        <w:rPr>
          <w:color w:val="auto"/>
        </w:rPr>
      </w:pPr>
      <w:r w:rsidRPr="00A07C59">
        <w:rPr>
          <w:color w:val="auto"/>
        </w:rPr>
        <w:t>2.</w:t>
      </w:r>
      <w:r w:rsidR="00420A9C">
        <w:rPr>
          <w:color w:val="auto"/>
        </w:rPr>
        <w:t>20</w:t>
      </w:r>
      <w:r w:rsidRPr="00A07C59">
        <w:rPr>
          <w:color w:val="auto"/>
        </w:rPr>
        <w:t xml:space="preserve">. Izsoles dalībnieks sedz visus izdevumus, kas tam radušies saistībā ar Piedāvājuma sagatavošanu un iesniegšanu. AS "Conexus Baltic Grid" nekompensē un neatlīdzina Izsoles dalībniekiem ar Izsoli saistītos zaudējumus. </w:t>
      </w:r>
    </w:p>
    <w:p w14:paraId="2547827D" w14:textId="101FDCFA" w:rsidR="002C35D8" w:rsidRPr="00A07C59" w:rsidRDefault="002C35D8" w:rsidP="00A46200">
      <w:pPr>
        <w:pStyle w:val="Default"/>
        <w:spacing w:after="120"/>
        <w:jc w:val="both"/>
        <w:rPr>
          <w:color w:val="auto"/>
        </w:rPr>
      </w:pPr>
      <w:r w:rsidRPr="00A07C59">
        <w:rPr>
          <w:color w:val="auto"/>
        </w:rPr>
        <w:t>2.</w:t>
      </w:r>
      <w:r w:rsidR="006740E7">
        <w:rPr>
          <w:color w:val="auto"/>
        </w:rPr>
        <w:t>2</w:t>
      </w:r>
      <w:r w:rsidR="00420A9C">
        <w:rPr>
          <w:color w:val="auto"/>
        </w:rPr>
        <w:t>1</w:t>
      </w:r>
      <w:r w:rsidRPr="00A07C59">
        <w:rPr>
          <w:color w:val="auto"/>
        </w:rPr>
        <w:t>. Piedāvājuma ietvaros iesniedzot vairākus Solījumus, Izsoles dalībnieks uzņemas atbildību, ka šādi strukturēts Piedāvājums daļā var tikt noraidīts saskaņā ar šā Nolikuma 4.</w:t>
      </w:r>
      <w:r w:rsidR="00054A25">
        <w:rPr>
          <w:color w:val="auto"/>
        </w:rPr>
        <w:t>2</w:t>
      </w:r>
      <w:r w:rsidRPr="00A07C59">
        <w:rPr>
          <w:color w:val="auto"/>
        </w:rPr>
        <w:t>.</w:t>
      </w:r>
      <w:r w:rsidR="00D04B69">
        <w:rPr>
          <w:color w:val="auto"/>
        </w:rPr>
        <w:t xml:space="preserve"> </w:t>
      </w:r>
      <w:r w:rsidRPr="00A07C59">
        <w:rPr>
          <w:color w:val="auto"/>
        </w:rPr>
        <w:t xml:space="preserve">apakšpunktu. </w:t>
      </w:r>
    </w:p>
    <w:p w14:paraId="4365BBD8" w14:textId="2E36F48F" w:rsidR="002C35D8" w:rsidRPr="00A07C59" w:rsidRDefault="002C35D8" w:rsidP="00A46200">
      <w:pPr>
        <w:pStyle w:val="Default"/>
        <w:spacing w:after="120"/>
        <w:jc w:val="both"/>
        <w:rPr>
          <w:color w:val="auto"/>
        </w:rPr>
      </w:pPr>
      <w:r w:rsidRPr="00A07C59">
        <w:rPr>
          <w:color w:val="auto"/>
        </w:rPr>
        <w:t>2.</w:t>
      </w:r>
      <w:r w:rsidR="006740E7">
        <w:rPr>
          <w:color w:val="auto"/>
        </w:rPr>
        <w:t>2</w:t>
      </w:r>
      <w:r w:rsidR="00420A9C">
        <w:rPr>
          <w:color w:val="auto"/>
        </w:rPr>
        <w:t>2</w:t>
      </w:r>
      <w:r w:rsidRPr="00A07C59">
        <w:rPr>
          <w:color w:val="auto"/>
        </w:rPr>
        <w:t>. AS "Conexus Baltic Grid" ir tiesības noraidīt tāda Izsoles dalībnieka Piedāvājumu, kurš no</w:t>
      </w:r>
      <w:r w:rsidR="003861E5">
        <w:rPr>
          <w:color w:val="auto"/>
        </w:rPr>
        <w:t xml:space="preserve"> </w:t>
      </w:r>
      <w:r w:rsidR="00716F52">
        <w:rPr>
          <w:color w:val="auto"/>
        </w:rPr>
        <w:t>2022</w:t>
      </w:r>
      <w:r w:rsidR="00716F52" w:rsidRPr="007E7CAB">
        <w:rPr>
          <w:color w:val="auto"/>
        </w:rPr>
        <w:t>./</w:t>
      </w:r>
      <w:r w:rsidR="00716F52">
        <w:rPr>
          <w:color w:val="auto"/>
        </w:rPr>
        <w:t>2023</w:t>
      </w:r>
      <w:r w:rsidR="00716F52" w:rsidRPr="007E7CAB">
        <w:rPr>
          <w:color w:val="auto"/>
        </w:rPr>
        <w:t>.</w:t>
      </w:r>
      <w:r w:rsidR="00716F52">
        <w:rPr>
          <w:color w:val="auto"/>
        </w:rPr>
        <w:t xml:space="preserve"> </w:t>
      </w:r>
      <w:r w:rsidRPr="00CB6F03">
        <w:rPr>
          <w:color w:val="auto"/>
        </w:rPr>
        <w:t>gada krātuves cikla izņemšanas sezonas sākuma līdz Izsoles norises dienai nav atjaunojis saistību izpildes nodrošinājumu un kuram uzglabāšanas sistēmas operators ir nosūtījis Krātuves lietošanas noteikumu 7</w:t>
      </w:r>
      <w:r w:rsidR="00CB6F03" w:rsidRPr="00CB6F03">
        <w:rPr>
          <w:color w:val="auto"/>
        </w:rPr>
        <w:t>6</w:t>
      </w:r>
      <w:r w:rsidR="001F1825" w:rsidRPr="00CB6F03">
        <w:rPr>
          <w:color w:val="auto"/>
        </w:rPr>
        <w:t>.</w:t>
      </w:r>
      <w:r w:rsidR="001F1825" w:rsidRPr="007E7CAB">
        <w:rPr>
          <w:color w:val="auto"/>
          <w:vertAlign w:val="superscript"/>
        </w:rPr>
        <w:t>1</w:t>
      </w:r>
      <w:r w:rsidRPr="00CB6F03">
        <w:rPr>
          <w:color w:val="auto"/>
        </w:rPr>
        <w:t>.</w:t>
      </w:r>
      <w:r w:rsidR="003861E5" w:rsidRPr="00CB6F03">
        <w:rPr>
          <w:color w:val="auto"/>
        </w:rPr>
        <w:t xml:space="preserve"> </w:t>
      </w:r>
      <w:r w:rsidRPr="00CB6F03">
        <w:rPr>
          <w:color w:val="auto"/>
        </w:rPr>
        <w:t>punktā noteikto</w:t>
      </w:r>
      <w:r w:rsidRPr="00A07C59">
        <w:rPr>
          <w:color w:val="auto"/>
        </w:rPr>
        <w:t xml:space="preserve"> brīdinājumu. </w:t>
      </w:r>
    </w:p>
    <w:p w14:paraId="64DA227C" w14:textId="3D0C6D8B" w:rsidR="002C35D8" w:rsidRDefault="002C35D8" w:rsidP="00A46200">
      <w:pPr>
        <w:pStyle w:val="Default"/>
        <w:spacing w:after="120"/>
        <w:jc w:val="both"/>
        <w:rPr>
          <w:color w:val="auto"/>
        </w:rPr>
      </w:pPr>
      <w:r w:rsidRPr="003861E5">
        <w:rPr>
          <w:color w:val="auto"/>
        </w:rPr>
        <w:t>2.</w:t>
      </w:r>
      <w:r w:rsidR="001F1825" w:rsidRPr="003861E5">
        <w:rPr>
          <w:color w:val="auto"/>
        </w:rPr>
        <w:t>2</w:t>
      </w:r>
      <w:r w:rsidR="00420A9C">
        <w:rPr>
          <w:color w:val="auto"/>
        </w:rPr>
        <w:t>3</w:t>
      </w:r>
      <w:r w:rsidRPr="003861E5">
        <w:rPr>
          <w:color w:val="auto"/>
        </w:rPr>
        <w:t xml:space="preserve">. AS "Conexus Baltic Grid" informācijas sniegšanai par Izsoli attiecībā uz Izsoles procedūru un šajā Nolikumā iekļautajām prasībām ir pilnvarojis </w:t>
      </w:r>
      <w:r w:rsidR="003407DF">
        <w:rPr>
          <w:color w:val="auto"/>
        </w:rPr>
        <w:t>Struktūrvienības</w:t>
      </w:r>
      <w:r w:rsidR="007E7CAB" w:rsidRPr="003861E5">
        <w:rPr>
          <w:color w:val="auto"/>
        </w:rPr>
        <w:t xml:space="preserve"> </w:t>
      </w:r>
      <w:r w:rsidRPr="003861E5">
        <w:rPr>
          <w:color w:val="auto"/>
        </w:rPr>
        <w:t xml:space="preserve">vadītāju </w:t>
      </w:r>
      <w:r w:rsidR="00D12D9C" w:rsidRPr="00500FDD">
        <w:rPr>
          <w:color w:val="auto"/>
        </w:rPr>
        <w:t>Jāni</w:t>
      </w:r>
      <w:r w:rsidR="00D12D9C">
        <w:rPr>
          <w:i/>
          <w:iCs/>
          <w:color w:val="auto"/>
        </w:rPr>
        <w:t xml:space="preserve"> </w:t>
      </w:r>
      <w:r w:rsidR="00395BF1" w:rsidRPr="00395BF1">
        <w:rPr>
          <w:color w:val="auto"/>
        </w:rPr>
        <w:t>Akmeni</w:t>
      </w:r>
      <w:r w:rsidRPr="00395BF1">
        <w:rPr>
          <w:color w:val="auto"/>
        </w:rPr>
        <w:t xml:space="preserve">, tālr. </w:t>
      </w:r>
      <w:r w:rsidR="00395BF1" w:rsidRPr="00395BF1">
        <w:rPr>
          <w:color w:val="auto"/>
        </w:rPr>
        <w:t xml:space="preserve">29373375 </w:t>
      </w:r>
      <w:r w:rsidRPr="00395BF1">
        <w:rPr>
          <w:color w:val="auto"/>
        </w:rPr>
        <w:t xml:space="preserve">un </w:t>
      </w:r>
      <w:r w:rsidR="003407DF" w:rsidRPr="00395BF1">
        <w:rPr>
          <w:color w:val="auto"/>
        </w:rPr>
        <w:t xml:space="preserve">Struktūrvienības </w:t>
      </w:r>
      <w:r w:rsidRPr="00395BF1">
        <w:rPr>
          <w:color w:val="auto"/>
        </w:rPr>
        <w:t xml:space="preserve">vadītāja vietnieku </w:t>
      </w:r>
      <w:r w:rsidR="00395BF1" w:rsidRPr="00395BF1">
        <w:rPr>
          <w:color w:val="auto"/>
        </w:rPr>
        <w:t>Kasparu Skrābānu</w:t>
      </w:r>
      <w:r w:rsidR="003861E5" w:rsidRPr="00395BF1">
        <w:rPr>
          <w:color w:val="auto"/>
        </w:rPr>
        <w:t xml:space="preserve"> </w:t>
      </w:r>
      <w:r w:rsidRPr="00395BF1">
        <w:rPr>
          <w:color w:val="auto"/>
        </w:rPr>
        <w:t xml:space="preserve">tālr. </w:t>
      </w:r>
      <w:r w:rsidR="00395BF1" w:rsidRPr="00395BF1">
        <w:rPr>
          <w:color w:val="auto"/>
        </w:rPr>
        <w:t>29213960</w:t>
      </w:r>
      <w:r w:rsidRPr="00395BF1">
        <w:rPr>
          <w:color w:val="auto"/>
        </w:rPr>
        <w:t xml:space="preserve">, e-pasts: </w:t>
      </w:r>
      <w:r w:rsidR="003407DF" w:rsidRPr="00395BF1">
        <w:rPr>
          <w:color w:val="auto"/>
        </w:rPr>
        <w:t>auction</w:t>
      </w:r>
      <w:r w:rsidRPr="00395BF1">
        <w:rPr>
          <w:color w:val="auto"/>
        </w:rPr>
        <w:t>@</w:t>
      </w:r>
      <w:r w:rsidR="003861E5" w:rsidRPr="00395BF1">
        <w:rPr>
          <w:color w:val="auto"/>
        </w:rPr>
        <w:t>conexus</w:t>
      </w:r>
      <w:r w:rsidRPr="00395BF1">
        <w:rPr>
          <w:color w:val="auto"/>
        </w:rPr>
        <w:t>.lv.</w:t>
      </w:r>
      <w:r w:rsidRPr="003861E5">
        <w:rPr>
          <w:color w:val="auto"/>
        </w:rPr>
        <w:t xml:space="preserve"> </w:t>
      </w:r>
    </w:p>
    <w:p w14:paraId="1AC2ADD1" w14:textId="77777777" w:rsidR="00FC19F3" w:rsidRPr="003861E5" w:rsidRDefault="00FC19F3" w:rsidP="00A46200">
      <w:pPr>
        <w:pStyle w:val="Default"/>
        <w:spacing w:after="120"/>
        <w:jc w:val="both"/>
        <w:rPr>
          <w:color w:val="auto"/>
        </w:rPr>
      </w:pPr>
    </w:p>
    <w:p w14:paraId="4F6E6F15" w14:textId="77777777" w:rsidR="002C35D8" w:rsidRDefault="002C35D8" w:rsidP="002C35D8">
      <w:pPr>
        <w:pStyle w:val="Default"/>
        <w:rPr>
          <w:color w:val="auto"/>
          <w:sz w:val="28"/>
          <w:szCs w:val="28"/>
        </w:rPr>
      </w:pPr>
      <w:r>
        <w:rPr>
          <w:b/>
          <w:bCs/>
          <w:color w:val="auto"/>
          <w:sz w:val="28"/>
          <w:szCs w:val="28"/>
        </w:rPr>
        <w:t xml:space="preserve">3. Solījuma cena </w:t>
      </w:r>
    </w:p>
    <w:p w14:paraId="32097685" w14:textId="22069DF0" w:rsidR="002C35D8" w:rsidRPr="00A07C59" w:rsidRDefault="002C35D8" w:rsidP="00A46200">
      <w:pPr>
        <w:pStyle w:val="Default"/>
        <w:spacing w:after="120"/>
        <w:jc w:val="both"/>
        <w:rPr>
          <w:color w:val="auto"/>
        </w:rPr>
      </w:pPr>
      <w:r w:rsidRPr="00A07C59">
        <w:rPr>
          <w:color w:val="auto"/>
        </w:rPr>
        <w:t xml:space="preserve">3.1. </w:t>
      </w:r>
      <w:r w:rsidR="007848D7">
        <w:rPr>
          <w:color w:val="auto"/>
        </w:rPr>
        <w:t>J</w:t>
      </w:r>
      <w:r w:rsidRPr="00A07C59">
        <w:rPr>
          <w:color w:val="auto"/>
        </w:rPr>
        <w:t xml:space="preserve">audas produkta Solījuma minimālā cena </w:t>
      </w:r>
      <w:r w:rsidR="00B45268" w:rsidRPr="00A07C59">
        <w:rPr>
          <w:color w:val="auto"/>
        </w:rPr>
        <w:t>–</w:t>
      </w:r>
      <w:r w:rsidRPr="00A07C59">
        <w:rPr>
          <w:color w:val="auto"/>
        </w:rPr>
        <w:t xml:space="preserve"> 0 EUR/MWh. </w:t>
      </w:r>
    </w:p>
    <w:p w14:paraId="3B65DA71" w14:textId="785B753A" w:rsidR="002C35D8" w:rsidRPr="00A07C59" w:rsidRDefault="002C35D8" w:rsidP="00A46200">
      <w:pPr>
        <w:pStyle w:val="Default"/>
        <w:spacing w:after="120"/>
        <w:jc w:val="both"/>
        <w:rPr>
          <w:color w:val="auto"/>
        </w:rPr>
      </w:pPr>
      <w:r w:rsidRPr="00A07C59">
        <w:rPr>
          <w:color w:val="auto"/>
        </w:rPr>
        <w:t xml:space="preserve">3.2. Izsoles dalībnieks Solījuma cenu par MWh uzrāda </w:t>
      </w:r>
      <w:r w:rsidRPr="00A07C59">
        <w:rPr>
          <w:i/>
          <w:iCs/>
          <w:color w:val="auto"/>
        </w:rPr>
        <w:t xml:space="preserve">euro </w:t>
      </w:r>
      <w:r w:rsidRPr="00A07C59">
        <w:rPr>
          <w:color w:val="auto"/>
        </w:rPr>
        <w:t xml:space="preserve">(EUR) ar precizitāti līdz divām zīmēm aiz komata bez pievienotās vērtības nodokļa (PVN). </w:t>
      </w:r>
    </w:p>
    <w:p w14:paraId="798C875D" w14:textId="77777777" w:rsidR="002C35D8" w:rsidRDefault="002C35D8" w:rsidP="00A46200">
      <w:pPr>
        <w:pStyle w:val="Default"/>
        <w:spacing w:after="120"/>
        <w:rPr>
          <w:b/>
          <w:bCs/>
          <w:color w:val="auto"/>
          <w:sz w:val="28"/>
          <w:szCs w:val="28"/>
        </w:rPr>
      </w:pPr>
      <w:r>
        <w:rPr>
          <w:b/>
          <w:bCs/>
          <w:color w:val="auto"/>
          <w:sz w:val="28"/>
          <w:szCs w:val="28"/>
        </w:rPr>
        <w:t xml:space="preserve">4. Piedāvājumu vērtēšana, prēmijas noteikšana </w:t>
      </w:r>
    </w:p>
    <w:p w14:paraId="4D7A07ED" w14:textId="4F116351" w:rsidR="002C35D8" w:rsidRPr="00A07C59" w:rsidRDefault="002C35D8" w:rsidP="00A46200">
      <w:pPr>
        <w:pStyle w:val="Default"/>
        <w:spacing w:after="120"/>
        <w:jc w:val="both"/>
        <w:rPr>
          <w:color w:val="auto"/>
        </w:rPr>
      </w:pPr>
      <w:r w:rsidRPr="00A07C59">
        <w:rPr>
          <w:color w:val="auto"/>
        </w:rPr>
        <w:t>4.1. AS "Conexus Baltic Grid" vērtē tikai tos Izsoles dalībnieku Piedāvājumus, kuri iesniegti atbilstoši šā Nolikuma 2.</w:t>
      </w:r>
      <w:r w:rsidR="003861E5">
        <w:rPr>
          <w:color w:val="auto"/>
        </w:rPr>
        <w:t xml:space="preserve"> </w:t>
      </w:r>
      <w:r w:rsidRPr="00A07C59">
        <w:rPr>
          <w:color w:val="auto"/>
        </w:rPr>
        <w:t xml:space="preserve">punkta prasībām. </w:t>
      </w:r>
    </w:p>
    <w:p w14:paraId="50CCD6DD" w14:textId="74B3C9B0" w:rsidR="002C35D8" w:rsidRPr="00A07C59" w:rsidRDefault="002C35D8" w:rsidP="00A46200">
      <w:pPr>
        <w:pStyle w:val="Default"/>
        <w:spacing w:after="120"/>
        <w:jc w:val="both"/>
        <w:rPr>
          <w:color w:val="auto"/>
        </w:rPr>
      </w:pPr>
      <w:r w:rsidRPr="00A07C59">
        <w:rPr>
          <w:color w:val="auto"/>
        </w:rPr>
        <w:t>4.</w:t>
      </w:r>
      <w:r w:rsidR="00054A25">
        <w:rPr>
          <w:color w:val="auto"/>
        </w:rPr>
        <w:t>2</w:t>
      </w:r>
      <w:r w:rsidRPr="00A07C59">
        <w:rPr>
          <w:color w:val="auto"/>
        </w:rPr>
        <w:t>. AS "Conexus Baltic Grid" sakārto šā Nolikuma prasībām atbilstošos Solījumus ekonomiskā izdevīguma secībā pēc Piedāvājumā iesniegtās Solījuma cenas (EUR/MWh), sākot ar augstāko piedāvāto Solījuma cenu</w:t>
      </w:r>
      <w:r w:rsidR="0011192C">
        <w:rPr>
          <w:color w:val="auto"/>
        </w:rPr>
        <w:t>,</w:t>
      </w:r>
      <w:r w:rsidRPr="00A07C59">
        <w:rPr>
          <w:color w:val="auto"/>
        </w:rPr>
        <w:t xml:space="preserve"> līdz tiek sasniegts </w:t>
      </w:r>
      <w:r w:rsidR="001240E5" w:rsidRPr="0011192C">
        <w:t xml:space="preserve">šā </w:t>
      </w:r>
      <w:r w:rsidR="00021D14">
        <w:t>N</w:t>
      </w:r>
      <w:r w:rsidR="001240E5" w:rsidRPr="0011192C">
        <w:t>olikuma 1.5.</w:t>
      </w:r>
      <w:r w:rsidR="003861E5">
        <w:t xml:space="preserve"> </w:t>
      </w:r>
      <w:r w:rsidR="001240E5" w:rsidRPr="0011192C">
        <w:t xml:space="preserve">apakšpunktā noteiktais </w:t>
      </w:r>
      <w:r w:rsidR="007848D7">
        <w:t>Jaudas p</w:t>
      </w:r>
      <w:r w:rsidR="00C25593">
        <w:t>rodukta</w:t>
      </w:r>
      <w:r w:rsidR="001240E5" w:rsidRPr="0011192C">
        <w:t xml:space="preserve"> maksimāli pieejamais krātuves jaudas apjoms</w:t>
      </w:r>
      <w:r w:rsidRPr="00A07C59">
        <w:rPr>
          <w:color w:val="auto"/>
        </w:rPr>
        <w:t xml:space="preserve">. </w:t>
      </w:r>
    </w:p>
    <w:p w14:paraId="5D5BC555" w14:textId="304D6AFC" w:rsidR="002C35D8" w:rsidRPr="00A07C59" w:rsidRDefault="002C35D8" w:rsidP="00A46200">
      <w:pPr>
        <w:pStyle w:val="Default"/>
        <w:spacing w:after="120"/>
        <w:jc w:val="both"/>
        <w:rPr>
          <w:color w:val="auto"/>
        </w:rPr>
      </w:pPr>
      <w:r w:rsidRPr="00A07C59">
        <w:rPr>
          <w:color w:val="auto"/>
        </w:rPr>
        <w:t>4.</w:t>
      </w:r>
      <w:r w:rsidR="00054A25">
        <w:rPr>
          <w:color w:val="auto"/>
        </w:rPr>
        <w:t>3</w:t>
      </w:r>
      <w:r w:rsidRPr="00A07C59">
        <w:rPr>
          <w:color w:val="auto"/>
        </w:rPr>
        <w:t xml:space="preserve">. Ja kopējais Izsoles dalībnieku Piedāvājumos pieprasītais </w:t>
      </w:r>
      <w:r w:rsidR="007848D7">
        <w:rPr>
          <w:color w:val="auto"/>
        </w:rPr>
        <w:t>J</w:t>
      </w:r>
      <w:r w:rsidRPr="00A07C59">
        <w:rPr>
          <w:color w:val="auto"/>
        </w:rPr>
        <w:t xml:space="preserve">audas produkta apjoms nesasniedz šā Nolikuma </w:t>
      </w:r>
      <w:r w:rsidR="006A4D3B">
        <w:rPr>
          <w:color w:val="auto"/>
        </w:rPr>
        <w:t>1.5.</w:t>
      </w:r>
      <w:r w:rsidR="003861E5">
        <w:rPr>
          <w:color w:val="auto"/>
        </w:rPr>
        <w:t xml:space="preserve"> </w:t>
      </w:r>
      <w:r w:rsidRPr="00A07C59">
        <w:rPr>
          <w:color w:val="auto"/>
        </w:rPr>
        <w:t xml:space="preserve">apakšpunktā noteikto apjomu, AS "Conexus Baltic Grid" Izsoles dalībniekam piešķir </w:t>
      </w:r>
      <w:r w:rsidR="0034418A">
        <w:rPr>
          <w:color w:val="auto"/>
        </w:rPr>
        <w:t xml:space="preserve">kopējo </w:t>
      </w:r>
      <w:r w:rsidRPr="00A07C59">
        <w:rPr>
          <w:color w:val="auto"/>
        </w:rPr>
        <w:t>Piedāvājum</w:t>
      </w:r>
      <w:r w:rsidR="0034418A">
        <w:rPr>
          <w:color w:val="auto"/>
        </w:rPr>
        <w:t>a solījumos</w:t>
      </w:r>
      <w:r w:rsidRPr="00A07C59">
        <w:rPr>
          <w:color w:val="auto"/>
        </w:rPr>
        <w:t xml:space="preserve"> </w:t>
      </w:r>
      <w:r w:rsidR="0034418A">
        <w:rPr>
          <w:color w:val="auto"/>
        </w:rPr>
        <w:t>noteikto</w:t>
      </w:r>
      <w:r w:rsidR="0034418A" w:rsidRPr="00A07C59">
        <w:rPr>
          <w:color w:val="auto"/>
        </w:rPr>
        <w:t xml:space="preserve"> </w:t>
      </w:r>
      <w:r w:rsidR="007848D7">
        <w:rPr>
          <w:color w:val="auto"/>
        </w:rPr>
        <w:t>J</w:t>
      </w:r>
      <w:r w:rsidRPr="00A07C59">
        <w:rPr>
          <w:color w:val="auto"/>
        </w:rPr>
        <w:t>audas produkta</w:t>
      </w:r>
      <w:r w:rsidR="007848D7">
        <w:rPr>
          <w:color w:val="auto"/>
        </w:rPr>
        <w:t xml:space="preserve"> </w:t>
      </w:r>
      <w:r w:rsidRPr="00A07C59">
        <w:rPr>
          <w:color w:val="auto"/>
        </w:rPr>
        <w:t xml:space="preserve">apjomu. </w:t>
      </w:r>
    </w:p>
    <w:p w14:paraId="60174659" w14:textId="250E1DBD" w:rsidR="006A4D3B" w:rsidRDefault="002C35D8" w:rsidP="00A46200">
      <w:pPr>
        <w:pStyle w:val="Default"/>
        <w:spacing w:after="120"/>
        <w:jc w:val="both"/>
        <w:rPr>
          <w:color w:val="auto"/>
        </w:rPr>
      </w:pPr>
      <w:r w:rsidRPr="00A07C59">
        <w:rPr>
          <w:color w:val="auto"/>
        </w:rPr>
        <w:t>4.</w:t>
      </w:r>
      <w:r w:rsidR="00054A25">
        <w:rPr>
          <w:color w:val="auto"/>
        </w:rPr>
        <w:t>4</w:t>
      </w:r>
      <w:r w:rsidRPr="00A07C59">
        <w:rPr>
          <w:color w:val="auto"/>
        </w:rPr>
        <w:t xml:space="preserve">. Ja kopējais Izsoles dalībnieku Piedāvājumos pieprasītais </w:t>
      </w:r>
      <w:r w:rsidR="007848D7">
        <w:rPr>
          <w:color w:val="auto"/>
        </w:rPr>
        <w:t>J</w:t>
      </w:r>
      <w:r w:rsidRPr="00A07C59">
        <w:rPr>
          <w:color w:val="auto"/>
        </w:rPr>
        <w:t xml:space="preserve">audas produkta apjoms pārsniedz šā Nolikuma </w:t>
      </w:r>
      <w:r w:rsidR="006A4D3B">
        <w:rPr>
          <w:color w:val="auto"/>
        </w:rPr>
        <w:t>1.5</w:t>
      </w:r>
      <w:r w:rsidRPr="00A07C59">
        <w:rPr>
          <w:color w:val="auto"/>
        </w:rPr>
        <w:t>.</w:t>
      </w:r>
      <w:r w:rsidR="003861E5">
        <w:rPr>
          <w:color w:val="auto"/>
        </w:rPr>
        <w:t xml:space="preserve"> </w:t>
      </w:r>
      <w:r w:rsidRPr="00A07C59">
        <w:rPr>
          <w:color w:val="auto"/>
        </w:rPr>
        <w:t>apakšpunktā noteikto a</w:t>
      </w:r>
      <w:r w:rsidR="007848D7">
        <w:rPr>
          <w:color w:val="auto"/>
        </w:rPr>
        <w:t>pjomu, AS "Conexus Baltic Grid"</w:t>
      </w:r>
      <w:r w:rsidRPr="00A07C59">
        <w:rPr>
          <w:color w:val="auto"/>
        </w:rPr>
        <w:t xml:space="preserve"> </w:t>
      </w:r>
      <w:r w:rsidR="007848D7">
        <w:rPr>
          <w:color w:val="auto"/>
        </w:rPr>
        <w:t>J</w:t>
      </w:r>
      <w:r w:rsidRPr="00A07C59">
        <w:rPr>
          <w:color w:val="auto"/>
        </w:rPr>
        <w:t xml:space="preserve">audas produktu piešķir šādā kārtībā un secībā: </w:t>
      </w:r>
    </w:p>
    <w:p w14:paraId="24AE410C" w14:textId="4EAF08AE" w:rsidR="002C35D8" w:rsidRPr="00A07C59" w:rsidRDefault="002C35D8" w:rsidP="00A46200">
      <w:pPr>
        <w:pStyle w:val="Default"/>
        <w:spacing w:after="120"/>
        <w:jc w:val="both"/>
        <w:rPr>
          <w:color w:val="auto"/>
        </w:rPr>
      </w:pPr>
      <w:r w:rsidRPr="00A07C59">
        <w:rPr>
          <w:color w:val="auto"/>
        </w:rPr>
        <w:lastRenderedPageBreak/>
        <w:t>4.</w:t>
      </w:r>
      <w:r w:rsidR="00054A25">
        <w:rPr>
          <w:color w:val="auto"/>
        </w:rPr>
        <w:t>4</w:t>
      </w:r>
      <w:r w:rsidRPr="00A07C59">
        <w:rPr>
          <w:color w:val="auto"/>
        </w:rPr>
        <w:t xml:space="preserve">.1. Izsoles dalībniekam, kura Piedāvājumā norādītā Solījuma cena nav noslēdzošā Solījuma cena, sasniedzot </w:t>
      </w:r>
      <w:r w:rsidR="006A4D3B" w:rsidRPr="00A07C59">
        <w:rPr>
          <w:color w:val="auto"/>
        </w:rPr>
        <w:t xml:space="preserve">šā Nolikuma </w:t>
      </w:r>
      <w:r w:rsidR="006A4D3B">
        <w:rPr>
          <w:color w:val="auto"/>
        </w:rPr>
        <w:t>1.5.</w:t>
      </w:r>
      <w:r w:rsidR="003861E5">
        <w:rPr>
          <w:color w:val="auto"/>
        </w:rPr>
        <w:t xml:space="preserve"> </w:t>
      </w:r>
      <w:r w:rsidR="006A4D3B" w:rsidRPr="00A07C59">
        <w:rPr>
          <w:color w:val="auto"/>
        </w:rPr>
        <w:t xml:space="preserve">apakšpunktā noteikto </w:t>
      </w:r>
      <w:r w:rsidR="00623457">
        <w:rPr>
          <w:color w:val="auto"/>
        </w:rPr>
        <w:t>J</w:t>
      </w:r>
      <w:r w:rsidR="006A4D3B">
        <w:rPr>
          <w:color w:val="auto"/>
        </w:rPr>
        <w:t xml:space="preserve">audas produkta </w:t>
      </w:r>
      <w:r w:rsidR="006A4D3B" w:rsidRPr="00A07C59">
        <w:rPr>
          <w:color w:val="auto"/>
        </w:rPr>
        <w:t>apjomu</w:t>
      </w:r>
      <w:r w:rsidRPr="00A07C59">
        <w:rPr>
          <w:color w:val="auto"/>
        </w:rPr>
        <w:t xml:space="preserve"> saskaņā ar Nolikuma 4.</w:t>
      </w:r>
      <w:r w:rsidR="00054A25">
        <w:rPr>
          <w:color w:val="auto"/>
        </w:rPr>
        <w:t>2</w:t>
      </w:r>
      <w:r w:rsidRPr="00A07C59">
        <w:rPr>
          <w:color w:val="auto"/>
        </w:rPr>
        <w:t>.</w:t>
      </w:r>
      <w:r w:rsidR="003861E5">
        <w:rPr>
          <w:color w:val="auto"/>
        </w:rPr>
        <w:t xml:space="preserve"> </w:t>
      </w:r>
      <w:r w:rsidRPr="00A07C59">
        <w:rPr>
          <w:color w:val="auto"/>
        </w:rPr>
        <w:t xml:space="preserve">apakšpunktā noteikto kārtību, </w:t>
      </w:r>
      <w:r w:rsidR="00623457">
        <w:rPr>
          <w:color w:val="auto"/>
        </w:rPr>
        <w:t>J</w:t>
      </w:r>
      <w:r w:rsidRPr="00A07C59">
        <w:rPr>
          <w:color w:val="auto"/>
        </w:rPr>
        <w:t xml:space="preserve">audas produktu piešķir pieprasītajā apjomā; </w:t>
      </w:r>
    </w:p>
    <w:p w14:paraId="4C0223CE" w14:textId="3AAFA9A7" w:rsidR="002C35D8" w:rsidRPr="006F015E" w:rsidRDefault="002C35D8" w:rsidP="00A46200">
      <w:pPr>
        <w:pStyle w:val="Default"/>
        <w:spacing w:after="120"/>
        <w:jc w:val="both"/>
        <w:rPr>
          <w:color w:val="auto"/>
        </w:rPr>
      </w:pPr>
      <w:r w:rsidRPr="00A07C59">
        <w:rPr>
          <w:color w:val="auto"/>
        </w:rPr>
        <w:t>4.</w:t>
      </w:r>
      <w:r w:rsidR="00054A25">
        <w:rPr>
          <w:color w:val="auto"/>
        </w:rPr>
        <w:t>4</w:t>
      </w:r>
      <w:r w:rsidRPr="00A07C59">
        <w:rPr>
          <w:color w:val="auto"/>
        </w:rPr>
        <w:t xml:space="preserve">.2. </w:t>
      </w:r>
      <w:r w:rsidR="00623457">
        <w:rPr>
          <w:color w:val="auto"/>
        </w:rPr>
        <w:t>J</w:t>
      </w:r>
      <w:r w:rsidRPr="00A07C59">
        <w:rPr>
          <w:color w:val="auto"/>
        </w:rPr>
        <w:t xml:space="preserve">audas produkta apjomu, kas vienāds ar starpību starp šā Nolikuma </w:t>
      </w:r>
      <w:r w:rsidR="006A4D3B">
        <w:rPr>
          <w:color w:val="auto"/>
        </w:rPr>
        <w:t>1.5</w:t>
      </w:r>
      <w:r w:rsidRPr="00A07C59">
        <w:rPr>
          <w:color w:val="auto"/>
        </w:rPr>
        <w:t>.</w:t>
      </w:r>
      <w:r w:rsidR="003861E5">
        <w:rPr>
          <w:color w:val="auto"/>
        </w:rPr>
        <w:t xml:space="preserve"> </w:t>
      </w:r>
      <w:r w:rsidRPr="00A07C59">
        <w:rPr>
          <w:color w:val="auto"/>
        </w:rPr>
        <w:t>apakšpunktā noteikto apjomu un š</w:t>
      </w:r>
      <w:r w:rsidR="00E96C8B">
        <w:rPr>
          <w:color w:val="auto"/>
        </w:rPr>
        <w:t>ā</w:t>
      </w:r>
      <w:r w:rsidRPr="00A07C59">
        <w:rPr>
          <w:color w:val="auto"/>
        </w:rPr>
        <w:t xml:space="preserve"> Nolikuma 4.</w:t>
      </w:r>
      <w:r w:rsidR="00054A25">
        <w:rPr>
          <w:color w:val="auto"/>
        </w:rPr>
        <w:t>4</w:t>
      </w:r>
      <w:r w:rsidRPr="00A07C59">
        <w:rPr>
          <w:color w:val="auto"/>
        </w:rPr>
        <w:t>.1.</w:t>
      </w:r>
      <w:r w:rsidR="003861E5">
        <w:rPr>
          <w:color w:val="auto"/>
        </w:rPr>
        <w:t xml:space="preserve"> </w:t>
      </w:r>
      <w:r w:rsidRPr="00A07C59">
        <w:rPr>
          <w:color w:val="auto"/>
        </w:rPr>
        <w:t xml:space="preserve">apakšpunktā noteiktajā kārtībā piešķirto </w:t>
      </w:r>
      <w:r w:rsidR="00623457">
        <w:rPr>
          <w:color w:val="auto"/>
        </w:rPr>
        <w:t>J</w:t>
      </w:r>
      <w:r w:rsidRPr="00A07C59">
        <w:rPr>
          <w:color w:val="auto"/>
        </w:rPr>
        <w:t xml:space="preserve">audas produkta apjomu piešķir proporcionāli Izsoles dalībnieka </w:t>
      </w:r>
      <w:r w:rsidRPr="006F015E">
        <w:rPr>
          <w:color w:val="auto"/>
        </w:rPr>
        <w:t xml:space="preserve">pieprasītajam </w:t>
      </w:r>
      <w:r w:rsidR="00623457" w:rsidRPr="006F015E">
        <w:rPr>
          <w:color w:val="auto"/>
        </w:rPr>
        <w:t>J</w:t>
      </w:r>
      <w:r w:rsidRPr="006F015E">
        <w:rPr>
          <w:color w:val="auto"/>
        </w:rPr>
        <w:t xml:space="preserve">audas produkta īpatsvaram </w:t>
      </w:r>
      <w:r w:rsidR="000157F1" w:rsidRPr="006F015E">
        <w:rPr>
          <w:color w:val="auto"/>
        </w:rPr>
        <w:t xml:space="preserve">kopējā </w:t>
      </w:r>
      <w:r w:rsidRPr="006F015E">
        <w:rPr>
          <w:color w:val="auto"/>
        </w:rPr>
        <w:t xml:space="preserve">Solījumos, kuros piedāvātā cena ir noslēdzošā, pieprasītajā </w:t>
      </w:r>
      <w:r w:rsidR="00623457" w:rsidRPr="006F015E">
        <w:rPr>
          <w:color w:val="auto"/>
        </w:rPr>
        <w:t>J</w:t>
      </w:r>
      <w:r w:rsidRPr="006F015E">
        <w:rPr>
          <w:color w:val="auto"/>
        </w:rPr>
        <w:t xml:space="preserve">audas produkta apjomā. </w:t>
      </w:r>
      <w:r w:rsidR="001240E5" w:rsidRPr="006F015E">
        <w:rPr>
          <w:iCs/>
        </w:rPr>
        <w:t xml:space="preserve">Solījuma, kurš ir norādīts kā fiksēts un kuram nav iespējams piešķirt noteikto </w:t>
      </w:r>
      <w:r w:rsidR="00623457" w:rsidRPr="006F015E">
        <w:rPr>
          <w:iCs/>
        </w:rPr>
        <w:t>J</w:t>
      </w:r>
      <w:r w:rsidR="001240E5" w:rsidRPr="006F015E">
        <w:rPr>
          <w:iCs/>
        </w:rPr>
        <w:t>audas produktu pilnā apjomā, ietvaros</w:t>
      </w:r>
      <w:r w:rsidR="002D0780" w:rsidRPr="006F015E">
        <w:rPr>
          <w:iCs/>
        </w:rPr>
        <w:t xml:space="preserve"> </w:t>
      </w:r>
      <w:r w:rsidR="00623457" w:rsidRPr="006F015E">
        <w:rPr>
          <w:iCs/>
        </w:rPr>
        <w:t>Jaudas p</w:t>
      </w:r>
      <w:r w:rsidR="002D0780" w:rsidRPr="006F015E">
        <w:rPr>
          <w:iCs/>
        </w:rPr>
        <w:t>rodukts</w:t>
      </w:r>
      <w:r w:rsidR="001240E5" w:rsidRPr="006F015E">
        <w:rPr>
          <w:iCs/>
        </w:rPr>
        <w:t xml:space="preserve"> netiek piešķirts. Šo Solījumu izslēdz no proporcijas noteikšanas un veic atkārtotu proporcijas un Izsoles dalībniekiem piešķiramā </w:t>
      </w:r>
      <w:r w:rsidR="00623457" w:rsidRPr="006F015E">
        <w:rPr>
          <w:iCs/>
        </w:rPr>
        <w:t>Jaudas p</w:t>
      </w:r>
      <w:r w:rsidR="00C25593" w:rsidRPr="006F015E">
        <w:rPr>
          <w:iCs/>
        </w:rPr>
        <w:t>rodukta</w:t>
      </w:r>
      <w:r w:rsidR="001240E5" w:rsidRPr="006F015E">
        <w:rPr>
          <w:iCs/>
        </w:rPr>
        <w:t xml:space="preserve"> apjoma noteikšanu</w:t>
      </w:r>
      <w:r w:rsidRPr="006F015E">
        <w:rPr>
          <w:color w:val="auto"/>
        </w:rPr>
        <w:t xml:space="preserve">. </w:t>
      </w:r>
      <w:r w:rsidR="001450AB" w:rsidRPr="006F015E">
        <w:rPr>
          <w:color w:val="auto"/>
        </w:rPr>
        <w:t xml:space="preserve"> </w:t>
      </w:r>
    </w:p>
    <w:p w14:paraId="09246364" w14:textId="000C4D4E" w:rsidR="002C35D8" w:rsidRPr="00A07C59" w:rsidRDefault="002C35D8" w:rsidP="00A46200">
      <w:pPr>
        <w:pStyle w:val="Default"/>
        <w:spacing w:after="120"/>
        <w:jc w:val="both"/>
        <w:rPr>
          <w:color w:val="auto"/>
        </w:rPr>
      </w:pPr>
      <w:r w:rsidRPr="00A07C59">
        <w:rPr>
          <w:color w:val="auto"/>
        </w:rPr>
        <w:t>4.</w:t>
      </w:r>
      <w:r w:rsidR="00054A25">
        <w:rPr>
          <w:color w:val="auto"/>
        </w:rPr>
        <w:t>4</w:t>
      </w:r>
      <w:r w:rsidRPr="00A07C59">
        <w:rPr>
          <w:color w:val="auto"/>
        </w:rPr>
        <w:t xml:space="preserve">.3. </w:t>
      </w:r>
      <w:r w:rsidR="00623457">
        <w:rPr>
          <w:color w:val="auto"/>
        </w:rPr>
        <w:t>J</w:t>
      </w:r>
      <w:r w:rsidRPr="00A07C59">
        <w:rPr>
          <w:color w:val="auto"/>
        </w:rPr>
        <w:t xml:space="preserve">audas produkta apjoms Izsoles dalībniekam tiek piešķirts līdz pilnai </w:t>
      </w:r>
      <w:r w:rsidR="00244494">
        <w:rPr>
          <w:color w:val="auto"/>
        </w:rPr>
        <w:t>M</w:t>
      </w:r>
      <w:r w:rsidRPr="00A07C59">
        <w:rPr>
          <w:color w:val="auto"/>
        </w:rPr>
        <w:t>Wh</w:t>
      </w:r>
      <w:r w:rsidR="00FF09B2">
        <w:rPr>
          <w:color w:val="auto"/>
        </w:rPr>
        <w:t xml:space="preserve">, kas noapaļota līdz </w:t>
      </w:r>
      <w:r w:rsidR="00133766">
        <w:rPr>
          <w:color w:val="auto"/>
        </w:rPr>
        <w:t>veselam skaitlim</w:t>
      </w:r>
      <w:r w:rsidR="00A40E96">
        <w:rPr>
          <w:color w:val="auto"/>
        </w:rPr>
        <w:t xml:space="preserve"> uz leju</w:t>
      </w:r>
      <w:r w:rsidRPr="00A07C59">
        <w:rPr>
          <w:color w:val="auto"/>
        </w:rPr>
        <w:t xml:space="preserve">. </w:t>
      </w:r>
      <w:r w:rsidR="00623457">
        <w:rPr>
          <w:color w:val="auto"/>
        </w:rPr>
        <w:t>J</w:t>
      </w:r>
      <w:r w:rsidRPr="00A07C59">
        <w:rPr>
          <w:color w:val="auto"/>
        </w:rPr>
        <w:t xml:space="preserve">audas produkta apjoms, kuru nav iespējams piešķirt līdz pilnai MWh, Izsoles dalībniekam netiek piešķirts. </w:t>
      </w:r>
    </w:p>
    <w:p w14:paraId="2ECF14D2" w14:textId="72FE5072" w:rsidR="000157F1" w:rsidRDefault="002C35D8" w:rsidP="00A46200">
      <w:pPr>
        <w:pStyle w:val="Default"/>
        <w:spacing w:after="120"/>
        <w:jc w:val="both"/>
        <w:rPr>
          <w:color w:val="auto"/>
        </w:rPr>
      </w:pPr>
      <w:r w:rsidRPr="00A07C59">
        <w:rPr>
          <w:color w:val="auto"/>
        </w:rPr>
        <w:t>4.</w:t>
      </w:r>
      <w:r w:rsidR="00054A25">
        <w:rPr>
          <w:color w:val="auto"/>
        </w:rPr>
        <w:t>5</w:t>
      </w:r>
      <w:r w:rsidRPr="00A07C59">
        <w:rPr>
          <w:color w:val="auto"/>
        </w:rPr>
        <w:t xml:space="preserve">. AS "Conexus Baltic Grid" Izsoles dalībniekiem piešķirtajam </w:t>
      </w:r>
      <w:r w:rsidR="00623457">
        <w:rPr>
          <w:color w:val="auto"/>
        </w:rPr>
        <w:t>J</w:t>
      </w:r>
      <w:r w:rsidRPr="00A07C59">
        <w:rPr>
          <w:color w:val="auto"/>
        </w:rPr>
        <w:t xml:space="preserve">audas produkta apjomam piemērojamo prēmiju nosaka šādā kārtībā: </w:t>
      </w:r>
    </w:p>
    <w:p w14:paraId="0F694ACA" w14:textId="21611E94" w:rsidR="002C35D8" w:rsidRPr="00A07C59" w:rsidRDefault="002C35D8" w:rsidP="00A46200">
      <w:pPr>
        <w:pStyle w:val="Default"/>
        <w:spacing w:after="120"/>
        <w:jc w:val="both"/>
        <w:rPr>
          <w:color w:val="auto"/>
        </w:rPr>
      </w:pPr>
      <w:r w:rsidRPr="00A07C59">
        <w:rPr>
          <w:color w:val="auto"/>
        </w:rPr>
        <w:t>4.</w:t>
      </w:r>
      <w:r w:rsidR="00054A25">
        <w:rPr>
          <w:color w:val="auto"/>
        </w:rPr>
        <w:t>5</w:t>
      </w:r>
      <w:r w:rsidRPr="00A07C59">
        <w:rPr>
          <w:color w:val="auto"/>
        </w:rPr>
        <w:t xml:space="preserve">.1. ja kopējais Izsolē iesniegtajos Piedāvājumos pieprasītais </w:t>
      </w:r>
      <w:r w:rsidR="00623457">
        <w:rPr>
          <w:color w:val="auto"/>
        </w:rPr>
        <w:t>J</w:t>
      </w:r>
      <w:r w:rsidRPr="00A07C59">
        <w:rPr>
          <w:color w:val="auto"/>
        </w:rPr>
        <w:t xml:space="preserve">audas produkta apjoms nesasniedz šā Nolikuma </w:t>
      </w:r>
      <w:r w:rsidR="000157F1">
        <w:rPr>
          <w:color w:val="auto"/>
        </w:rPr>
        <w:t>1.5</w:t>
      </w:r>
      <w:r w:rsidRPr="00A07C59">
        <w:rPr>
          <w:color w:val="auto"/>
        </w:rPr>
        <w:t>.</w:t>
      </w:r>
      <w:r w:rsidR="003861E5">
        <w:rPr>
          <w:color w:val="auto"/>
        </w:rPr>
        <w:t xml:space="preserve"> </w:t>
      </w:r>
      <w:r w:rsidRPr="00A07C59">
        <w:rPr>
          <w:color w:val="auto"/>
        </w:rPr>
        <w:t xml:space="preserve">apakšpunktā noteikto apjomu, Izsoles dalībniekiem piešķirtajam </w:t>
      </w:r>
      <w:r w:rsidR="00623457">
        <w:rPr>
          <w:color w:val="auto"/>
        </w:rPr>
        <w:t>Jaudas p</w:t>
      </w:r>
      <w:r w:rsidR="00C25593">
        <w:rPr>
          <w:color w:val="auto"/>
        </w:rPr>
        <w:t>rodukta</w:t>
      </w:r>
      <w:r w:rsidRPr="00A07C59">
        <w:rPr>
          <w:color w:val="auto"/>
        </w:rPr>
        <w:t xml:space="preserve"> apjomam piemērojamā prēmija ir vienāda ar šā Nolikuma 3.1.</w:t>
      </w:r>
      <w:r w:rsidR="003861E5">
        <w:rPr>
          <w:color w:val="auto"/>
        </w:rPr>
        <w:t xml:space="preserve"> </w:t>
      </w:r>
      <w:r w:rsidRPr="00A07C59">
        <w:rPr>
          <w:color w:val="auto"/>
        </w:rPr>
        <w:t xml:space="preserve">apakšpunktā noteikto Solījuma minimālo cenu. </w:t>
      </w:r>
    </w:p>
    <w:p w14:paraId="76FAE352" w14:textId="6EF5E289" w:rsidR="00866F67" w:rsidRPr="001816D0" w:rsidRDefault="002C35D8" w:rsidP="00A46200">
      <w:pPr>
        <w:pStyle w:val="Default"/>
        <w:spacing w:after="120"/>
        <w:jc w:val="both"/>
        <w:rPr>
          <w:color w:val="auto"/>
        </w:rPr>
      </w:pPr>
      <w:r w:rsidRPr="00A07C59">
        <w:rPr>
          <w:color w:val="auto"/>
        </w:rPr>
        <w:t>4.</w:t>
      </w:r>
      <w:r w:rsidR="00054A25">
        <w:rPr>
          <w:color w:val="auto"/>
        </w:rPr>
        <w:t>5</w:t>
      </w:r>
      <w:r w:rsidRPr="00A07C59">
        <w:rPr>
          <w:color w:val="auto"/>
        </w:rPr>
        <w:t xml:space="preserve">.2. ja kopējais Izsolē iesniegtajos Piedāvājumos pieprasītais </w:t>
      </w:r>
      <w:r w:rsidR="00623457">
        <w:rPr>
          <w:color w:val="auto"/>
        </w:rPr>
        <w:t>J</w:t>
      </w:r>
      <w:r w:rsidRPr="00A07C59">
        <w:rPr>
          <w:color w:val="auto"/>
        </w:rPr>
        <w:t xml:space="preserve">audas produkta apjoms pārsniedz šā Nolikuma </w:t>
      </w:r>
      <w:r w:rsidR="000157F1">
        <w:rPr>
          <w:color w:val="auto"/>
        </w:rPr>
        <w:t>1.5</w:t>
      </w:r>
      <w:r w:rsidRPr="00A07C59">
        <w:rPr>
          <w:color w:val="auto"/>
        </w:rPr>
        <w:t>.</w:t>
      </w:r>
      <w:r w:rsidR="003861E5">
        <w:rPr>
          <w:color w:val="auto"/>
        </w:rPr>
        <w:t xml:space="preserve"> </w:t>
      </w:r>
      <w:r w:rsidRPr="00A07C59">
        <w:rPr>
          <w:color w:val="auto"/>
        </w:rPr>
        <w:t xml:space="preserve">apakšpunktā noteikto apjomu, Izsoles dalībniekiem piešķirtajam </w:t>
      </w:r>
      <w:r w:rsidR="002A79F9">
        <w:rPr>
          <w:color w:val="auto"/>
        </w:rPr>
        <w:t>J</w:t>
      </w:r>
      <w:r w:rsidRPr="00A07C59">
        <w:rPr>
          <w:color w:val="auto"/>
        </w:rPr>
        <w:t xml:space="preserve">audas produkta apjomam piemērojamā prēmija ir vienāda ar noslēdzošā Solījuma </w:t>
      </w:r>
      <w:r w:rsidR="000157F1">
        <w:rPr>
          <w:color w:val="auto"/>
        </w:rPr>
        <w:t>P</w:t>
      </w:r>
      <w:r w:rsidRPr="00A07C59">
        <w:rPr>
          <w:color w:val="auto"/>
        </w:rPr>
        <w:t xml:space="preserve">iedāvājumā norādīto cenu </w:t>
      </w:r>
      <w:r w:rsidR="004E712E">
        <w:rPr>
          <w:color w:val="auto"/>
        </w:rPr>
        <w:t>sasniedzot vai pārsniedzot šā Nolikuma 1.5.</w:t>
      </w:r>
      <w:r w:rsidR="003861E5">
        <w:rPr>
          <w:color w:val="auto"/>
        </w:rPr>
        <w:t xml:space="preserve"> </w:t>
      </w:r>
      <w:r w:rsidR="004E712E">
        <w:rPr>
          <w:color w:val="auto"/>
        </w:rPr>
        <w:t xml:space="preserve">apakšpunktā noteikto </w:t>
      </w:r>
      <w:r w:rsidR="002A79F9">
        <w:rPr>
          <w:color w:val="auto"/>
        </w:rPr>
        <w:t>J</w:t>
      </w:r>
      <w:r w:rsidR="004E712E">
        <w:rPr>
          <w:color w:val="auto"/>
        </w:rPr>
        <w:t xml:space="preserve">audas produkta apjomu </w:t>
      </w:r>
      <w:r w:rsidRPr="00A07C59">
        <w:rPr>
          <w:color w:val="auto"/>
        </w:rPr>
        <w:t>saskaņā ar Nolikuma 4.</w:t>
      </w:r>
      <w:r w:rsidR="00054A25">
        <w:rPr>
          <w:color w:val="auto"/>
        </w:rPr>
        <w:t>4</w:t>
      </w:r>
      <w:r w:rsidRPr="00A07C59">
        <w:rPr>
          <w:color w:val="auto"/>
        </w:rPr>
        <w:t>.</w:t>
      </w:r>
      <w:r w:rsidR="003861E5">
        <w:rPr>
          <w:color w:val="auto"/>
        </w:rPr>
        <w:t xml:space="preserve"> </w:t>
      </w:r>
      <w:r w:rsidRPr="00A07C59">
        <w:rPr>
          <w:color w:val="auto"/>
        </w:rPr>
        <w:t xml:space="preserve">apakšpunktā noteikto kārtību. </w:t>
      </w:r>
    </w:p>
    <w:p w14:paraId="265F1EA8" w14:textId="6923B535" w:rsidR="002C35D8" w:rsidRDefault="001816D0" w:rsidP="00A46200">
      <w:pPr>
        <w:pStyle w:val="Default"/>
        <w:spacing w:after="120"/>
        <w:jc w:val="both"/>
        <w:rPr>
          <w:color w:val="auto"/>
        </w:rPr>
      </w:pPr>
      <w:r>
        <w:rPr>
          <w:b/>
          <w:bCs/>
          <w:color w:val="auto"/>
          <w:sz w:val="28"/>
          <w:szCs w:val="28"/>
        </w:rPr>
        <w:t>5</w:t>
      </w:r>
      <w:r w:rsidR="002C35D8">
        <w:rPr>
          <w:b/>
          <w:bCs/>
          <w:color w:val="auto"/>
          <w:sz w:val="28"/>
          <w:szCs w:val="28"/>
        </w:rPr>
        <w:t>. Izsoles rezultātu paziņošana, apstrīdēšanas kārtība, saistību apmērs un norēķinu kārtība</w:t>
      </w:r>
    </w:p>
    <w:p w14:paraId="2A27CE60" w14:textId="20D33AF9" w:rsidR="002C35D8" w:rsidRPr="00A07C59" w:rsidRDefault="001816D0" w:rsidP="00A46200">
      <w:pPr>
        <w:pStyle w:val="Default"/>
        <w:spacing w:after="120"/>
        <w:jc w:val="both"/>
        <w:rPr>
          <w:color w:val="auto"/>
        </w:rPr>
      </w:pPr>
      <w:r>
        <w:rPr>
          <w:color w:val="auto"/>
        </w:rPr>
        <w:t>5</w:t>
      </w:r>
      <w:r w:rsidR="002C35D8" w:rsidRPr="00A07C59">
        <w:rPr>
          <w:color w:val="auto"/>
        </w:rPr>
        <w:t xml:space="preserve">.1. </w:t>
      </w:r>
      <w:r w:rsidR="00244494" w:rsidRPr="00E54720">
        <w:rPr>
          <w:sz w:val="25"/>
          <w:szCs w:val="25"/>
        </w:rPr>
        <w:t>Līdz nākamās dienas pēc Izsoles plkst. 11:00</w:t>
      </w:r>
      <w:r w:rsidR="00E96C8B">
        <w:rPr>
          <w:sz w:val="25"/>
          <w:szCs w:val="25"/>
        </w:rPr>
        <w:t xml:space="preserve"> (pēc Latvijas laika)</w:t>
      </w:r>
      <w:r w:rsidR="00395BF1">
        <w:rPr>
          <w:sz w:val="25"/>
          <w:szCs w:val="25"/>
        </w:rPr>
        <w:t xml:space="preserve"> </w:t>
      </w:r>
      <w:r w:rsidR="00244494" w:rsidRPr="00E54720">
        <w:rPr>
          <w:sz w:val="25"/>
          <w:szCs w:val="25"/>
        </w:rPr>
        <w:t xml:space="preserve">AS "Conexus Baltic Grid", vienlaicīgi publicējot vienotās Igaunijas un Latvijas balansēšanas zonas IT platformā, AS </w:t>
      </w:r>
      <w:r w:rsidR="00EF7702" w:rsidRPr="007D33F0">
        <w:rPr>
          <w:sz w:val="25"/>
          <w:szCs w:val="25"/>
        </w:rPr>
        <w:t>"</w:t>
      </w:r>
      <w:r w:rsidR="00244494" w:rsidRPr="00E54720">
        <w:rPr>
          <w:sz w:val="25"/>
          <w:szCs w:val="25"/>
        </w:rPr>
        <w:t>Conexus Baltic Grid</w:t>
      </w:r>
      <w:r w:rsidR="00EF7702" w:rsidRPr="007D33F0">
        <w:rPr>
          <w:sz w:val="25"/>
          <w:szCs w:val="25"/>
        </w:rPr>
        <w:t>"</w:t>
      </w:r>
      <w:r w:rsidR="00244494" w:rsidRPr="00E54720">
        <w:rPr>
          <w:sz w:val="25"/>
          <w:szCs w:val="25"/>
        </w:rPr>
        <w:t xml:space="preserve"> tīmekļvietnē un elektroniski nosūtot attiecīgu paziņojumu, informē visus Izsoles dalībniekus par Izsoles rezultātiem. AS </w:t>
      </w:r>
      <w:r w:rsidR="00EF7702" w:rsidRPr="007D33F0">
        <w:rPr>
          <w:sz w:val="25"/>
          <w:szCs w:val="25"/>
        </w:rPr>
        <w:t>"</w:t>
      </w:r>
      <w:r w:rsidR="00244494" w:rsidRPr="00E54720">
        <w:rPr>
          <w:sz w:val="25"/>
          <w:szCs w:val="25"/>
        </w:rPr>
        <w:t>Conexus Baltic Grid</w:t>
      </w:r>
      <w:r w:rsidR="00EF7702" w:rsidRPr="007D33F0">
        <w:rPr>
          <w:sz w:val="25"/>
          <w:szCs w:val="25"/>
        </w:rPr>
        <w:t>"</w:t>
      </w:r>
      <w:r w:rsidR="00244494" w:rsidRPr="00E54720">
        <w:rPr>
          <w:sz w:val="25"/>
          <w:szCs w:val="25"/>
        </w:rPr>
        <w:t xml:space="preserve"> tīmekļvietnē publicē informāciju par Izsoles dalībnieku Jaudas produkta ietvaros pieprasīto kopējo krātuves jaudas apjomu, Izsoles rezultātā Jaudas produkta ietvaros piešķirto kopējo krātuves jaudas apjomu un tam piemērojamo prēmiju </w:t>
      </w:r>
      <w:bookmarkStart w:id="1" w:name="_Hlk64455155"/>
      <w:r w:rsidR="00244494" w:rsidRPr="00E54720">
        <w:rPr>
          <w:sz w:val="25"/>
          <w:szCs w:val="25"/>
        </w:rPr>
        <w:t>(EUR/MWh)</w:t>
      </w:r>
      <w:bookmarkEnd w:id="1"/>
      <w:r w:rsidR="00244494" w:rsidRPr="00E54720">
        <w:rPr>
          <w:sz w:val="25"/>
          <w:szCs w:val="25"/>
        </w:rPr>
        <w:t xml:space="preserve">. AS </w:t>
      </w:r>
      <w:r w:rsidR="00EF7702" w:rsidRPr="007D33F0">
        <w:rPr>
          <w:sz w:val="25"/>
          <w:szCs w:val="25"/>
        </w:rPr>
        <w:t>"</w:t>
      </w:r>
      <w:r w:rsidR="00244494" w:rsidRPr="00E54720">
        <w:rPr>
          <w:sz w:val="25"/>
          <w:szCs w:val="25"/>
        </w:rPr>
        <w:t>Conexus Baltic Grid</w:t>
      </w:r>
      <w:r w:rsidR="00EF7702" w:rsidRPr="007D33F0">
        <w:rPr>
          <w:sz w:val="25"/>
          <w:szCs w:val="25"/>
        </w:rPr>
        <w:t>"</w:t>
      </w:r>
      <w:r w:rsidR="00244494" w:rsidRPr="00E54720">
        <w:rPr>
          <w:sz w:val="25"/>
          <w:szCs w:val="25"/>
        </w:rPr>
        <w:t xml:space="preserve"> nosūta informāciju par Izsoles rezultātiem attiecīgajam Izsoles dalībniekam vienotās Igaunijas un Latvijas balansēšanas zonas IT platformā un elektroniski tikai tajā daļā, kas attiecināma uz konkrētā Izsoles dalībnieka iesniegto Piedāvājumu</w:t>
      </w:r>
      <w:r w:rsidR="002C35D8" w:rsidRPr="00A07C59">
        <w:rPr>
          <w:color w:val="auto"/>
        </w:rPr>
        <w:t xml:space="preserve">. </w:t>
      </w:r>
    </w:p>
    <w:p w14:paraId="54250D51" w14:textId="1B1FA0A4" w:rsidR="002C35D8" w:rsidRPr="00A07C59" w:rsidRDefault="00DE0472" w:rsidP="00A46200">
      <w:pPr>
        <w:pStyle w:val="Default"/>
        <w:spacing w:after="120"/>
        <w:jc w:val="both"/>
        <w:rPr>
          <w:color w:val="auto"/>
        </w:rPr>
      </w:pPr>
      <w:r>
        <w:rPr>
          <w:color w:val="auto"/>
        </w:rPr>
        <w:t>5</w:t>
      </w:r>
      <w:r w:rsidR="002C35D8" w:rsidRPr="00A07C59">
        <w:rPr>
          <w:color w:val="auto"/>
        </w:rPr>
        <w:t xml:space="preserve">.2. Izsoles uzvarētājam trīs darba dienu laikā no </w:t>
      </w:r>
      <w:r w:rsidR="00711DC6" w:rsidRPr="008729D4">
        <w:t>š</w:t>
      </w:r>
      <w:r w:rsidR="004E3D91">
        <w:t>ā</w:t>
      </w:r>
      <w:r w:rsidR="00711DC6" w:rsidRPr="008729D4">
        <w:t xml:space="preserve"> No</w:t>
      </w:r>
      <w:r w:rsidR="004E3D91">
        <w:t>likuma</w:t>
      </w:r>
      <w:r w:rsidR="00711DC6" w:rsidRPr="008729D4">
        <w:t xml:space="preserve"> </w:t>
      </w:r>
      <w:r>
        <w:t>5</w:t>
      </w:r>
      <w:r w:rsidR="00711DC6" w:rsidRPr="008729D4">
        <w:t>.1.</w:t>
      </w:r>
      <w:r w:rsidR="003861E5">
        <w:t xml:space="preserve"> </w:t>
      </w:r>
      <w:r w:rsidR="00711DC6" w:rsidRPr="008729D4">
        <w:t>apa</w:t>
      </w:r>
      <w:r w:rsidR="004E3D91">
        <w:t>k</w:t>
      </w:r>
      <w:r w:rsidR="00711DC6" w:rsidRPr="008729D4">
        <w:t>špunktā noteiktās Izs</w:t>
      </w:r>
      <w:r w:rsidR="00711DC6">
        <w:t>oles rezultātu paziņošanas dienas</w:t>
      </w:r>
      <w:r w:rsidR="00711DC6" w:rsidRPr="00A07C59" w:rsidDel="00711DC6">
        <w:rPr>
          <w:color w:val="auto"/>
        </w:rPr>
        <w:t xml:space="preserve"> </w:t>
      </w:r>
      <w:r w:rsidR="002C35D8" w:rsidRPr="00A07C59">
        <w:rPr>
          <w:color w:val="auto"/>
        </w:rPr>
        <w:t xml:space="preserve">Izsoles rezultātu pārskatīšanas nolūkā ir tiesības apstrīdēt Izsoles rezultātus daļā, kas neatbilst Izsoles uzvarētāja iesniegtajam Piedāvājumam (turpmāk – Sūdzība). Izsoles uzvarētājs nosūta AS "Conexus Baltic Grid" uz elektroniskā pasta adresi </w:t>
      </w:r>
      <w:r w:rsidR="00711DC6">
        <w:rPr>
          <w:color w:val="auto"/>
        </w:rPr>
        <w:t>auction</w:t>
      </w:r>
      <w:r w:rsidR="002C35D8" w:rsidRPr="00A07C59">
        <w:rPr>
          <w:color w:val="auto"/>
        </w:rPr>
        <w:t xml:space="preserve">@conexus.lv pamatotu Sūdzību, norādot neatbilstības starp </w:t>
      </w:r>
      <w:r w:rsidR="002A79F9">
        <w:rPr>
          <w:color w:val="auto"/>
        </w:rPr>
        <w:t>J</w:t>
      </w:r>
      <w:r w:rsidR="002C35D8" w:rsidRPr="00A07C59">
        <w:rPr>
          <w:color w:val="auto"/>
        </w:rPr>
        <w:t xml:space="preserve">audas produkta piešķiršanas paziņojumu un Piedāvājumu. AS "Conexus Baltic Grid" izskata Sūdzību un divu darba dienu laikā informē attiecīgo Izsoles uzvarētāju par pieņemto lēmumu. Sūdzība neietekmē Izsoles uzvarētāja pienākumu, kas noteikts šā Nolikuma </w:t>
      </w:r>
      <w:r>
        <w:rPr>
          <w:color w:val="auto"/>
        </w:rPr>
        <w:t>5</w:t>
      </w:r>
      <w:r w:rsidR="002C35D8" w:rsidRPr="00A07C59">
        <w:rPr>
          <w:color w:val="auto"/>
        </w:rPr>
        <w:t>.4.</w:t>
      </w:r>
      <w:r w:rsidR="003861E5">
        <w:rPr>
          <w:color w:val="auto"/>
        </w:rPr>
        <w:t xml:space="preserve"> </w:t>
      </w:r>
      <w:r w:rsidR="002C35D8" w:rsidRPr="00A07C59">
        <w:rPr>
          <w:color w:val="auto"/>
        </w:rPr>
        <w:t xml:space="preserve">apakšpunktā, ja vien AS "Conexus Baltic Grid" Sūdzības izvērtēšanas lēmumā nenosaka citādi. </w:t>
      </w:r>
    </w:p>
    <w:p w14:paraId="2C7CD177" w14:textId="07CFF677" w:rsidR="002C35D8" w:rsidRPr="00A07C59" w:rsidRDefault="000470AD" w:rsidP="00A46200">
      <w:pPr>
        <w:pStyle w:val="Default"/>
        <w:spacing w:after="120"/>
        <w:jc w:val="both"/>
        <w:rPr>
          <w:color w:val="auto"/>
        </w:rPr>
      </w:pPr>
      <w:r>
        <w:rPr>
          <w:color w:val="auto"/>
        </w:rPr>
        <w:lastRenderedPageBreak/>
        <w:t>5</w:t>
      </w:r>
      <w:r w:rsidR="002C35D8" w:rsidRPr="00A07C59">
        <w:rPr>
          <w:color w:val="auto"/>
        </w:rPr>
        <w:t xml:space="preserve">.3. AS "Conexus Baltic Grid" šā Nolikuma </w:t>
      </w:r>
      <w:r w:rsidR="00E0361F">
        <w:rPr>
          <w:color w:val="auto"/>
        </w:rPr>
        <w:t>5</w:t>
      </w:r>
      <w:r w:rsidR="002C35D8" w:rsidRPr="00A07C59">
        <w:rPr>
          <w:color w:val="auto"/>
        </w:rPr>
        <w:t>.1.</w:t>
      </w:r>
      <w:r w:rsidR="003861E5">
        <w:rPr>
          <w:color w:val="auto"/>
        </w:rPr>
        <w:t xml:space="preserve"> </w:t>
      </w:r>
      <w:r w:rsidR="002C35D8" w:rsidRPr="00A07C59">
        <w:rPr>
          <w:color w:val="auto"/>
        </w:rPr>
        <w:t xml:space="preserve">apakšpunktā noteiktajā </w:t>
      </w:r>
      <w:r w:rsidR="002A79F9">
        <w:rPr>
          <w:color w:val="auto"/>
        </w:rPr>
        <w:t>J</w:t>
      </w:r>
      <w:r w:rsidR="002C35D8" w:rsidRPr="00A07C59">
        <w:rPr>
          <w:color w:val="auto"/>
        </w:rPr>
        <w:t xml:space="preserve">audas produkta piešķiršanas paziņojumā informē Izsoles dalībnieku par piešķirto </w:t>
      </w:r>
      <w:r w:rsidR="002A79F9">
        <w:rPr>
          <w:color w:val="auto"/>
        </w:rPr>
        <w:t>J</w:t>
      </w:r>
      <w:r w:rsidR="002C35D8" w:rsidRPr="00A07C59">
        <w:rPr>
          <w:color w:val="auto"/>
        </w:rPr>
        <w:t xml:space="preserve">audas produkta apjomu (MWh) un tam piemērojamo prēmiju EUR/MWh (bez PVN). </w:t>
      </w:r>
    </w:p>
    <w:p w14:paraId="4B7C916E" w14:textId="6FF1BDA1" w:rsidR="002C35D8" w:rsidRPr="00A07C59" w:rsidRDefault="000470AD" w:rsidP="00A46200">
      <w:pPr>
        <w:pStyle w:val="Default"/>
        <w:spacing w:after="120"/>
        <w:jc w:val="both"/>
        <w:rPr>
          <w:color w:val="auto"/>
        </w:rPr>
      </w:pPr>
      <w:r>
        <w:rPr>
          <w:color w:val="auto"/>
        </w:rPr>
        <w:t>5</w:t>
      </w:r>
      <w:r w:rsidR="002C35D8" w:rsidRPr="00A07C59">
        <w:rPr>
          <w:color w:val="auto"/>
        </w:rPr>
        <w:t xml:space="preserve">.4. Pēc </w:t>
      </w:r>
      <w:r w:rsidR="002A79F9">
        <w:rPr>
          <w:color w:val="auto"/>
        </w:rPr>
        <w:t>J</w:t>
      </w:r>
      <w:r w:rsidR="002C35D8" w:rsidRPr="00A07C59">
        <w:rPr>
          <w:color w:val="auto"/>
        </w:rPr>
        <w:t xml:space="preserve">audas produkta piešķiršanas paziņojuma saņemšanas Izsoles dalībniekam ir pienākums norēķināties ar AS "Conexus Baltic Grid" par Izsoles rezultātā piešķirto </w:t>
      </w:r>
      <w:r w:rsidR="002A79F9">
        <w:rPr>
          <w:color w:val="auto"/>
        </w:rPr>
        <w:t>J</w:t>
      </w:r>
      <w:r w:rsidR="002C35D8" w:rsidRPr="00A07C59">
        <w:rPr>
          <w:color w:val="auto"/>
        </w:rPr>
        <w:t xml:space="preserve">audas produktu Krātuves lietošanas noteikumos, uzglabāšanas pakalpojuma līgumā un šajā Nolikumā noteiktajā kārtībā atbilstoši </w:t>
      </w:r>
      <w:r w:rsidR="0091154B">
        <w:rPr>
          <w:color w:val="auto"/>
        </w:rPr>
        <w:t>Jaudas produkta tarifam</w:t>
      </w:r>
      <w:r w:rsidR="00EB2152">
        <w:rPr>
          <w:color w:val="auto"/>
        </w:rPr>
        <w:t xml:space="preserve"> </w:t>
      </w:r>
      <w:r w:rsidR="002A5B96" w:rsidRPr="002A5B96">
        <w:rPr>
          <w:color w:val="auto"/>
        </w:rPr>
        <w:t>0</w:t>
      </w:r>
      <w:r w:rsidR="002A5B96">
        <w:rPr>
          <w:color w:val="auto"/>
        </w:rPr>
        <w:t>,</w:t>
      </w:r>
      <w:r w:rsidR="002A5B96" w:rsidRPr="002A5B96">
        <w:rPr>
          <w:color w:val="auto"/>
        </w:rPr>
        <w:t xml:space="preserve">8147 </w:t>
      </w:r>
      <w:r w:rsidR="0091154B">
        <w:rPr>
          <w:color w:val="auto"/>
        </w:rPr>
        <w:t>EUR/MWh</w:t>
      </w:r>
      <w:r w:rsidR="002C35D8" w:rsidRPr="00A07C59">
        <w:rPr>
          <w:color w:val="auto"/>
        </w:rPr>
        <w:t xml:space="preserve"> un Izsoles rezultātā noteiktajai prēmijai. </w:t>
      </w:r>
      <w:r w:rsidR="0091154B">
        <w:rPr>
          <w:color w:val="auto"/>
        </w:rPr>
        <w:t>Piešķirtajam Jaudas produkta apjomam</w:t>
      </w:r>
      <w:r w:rsidR="001F2F7F">
        <w:rPr>
          <w:color w:val="auto"/>
        </w:rPr>
        <w:t xml:space="preserve"> </w:t>
      </w:r>
      <w:r w:rsidR="0091154B">
        <w:rPr>
          <w:color w:val="auto"/>
        </w:rPr>
        <w:t>noteikto</w:t>
      </w:r>
      <w:r w:rsidR="001F2F7F">
        <w:rPr>
          <w:color w:val="auto"/>
        </w:rPr>
        <w:t xml:space="preserve"> prēmij</w:t>
      </w:r>
      <w:r w:rsidR="0091154B">
        <w:rPr>
          <w:color w:val="auto"/>
        </w:rPr>
        <w:t>u (EUR/MWh)</w:t>
      </w:r>
      <w:r w:rsidR="001F2F7F">
        <w:rPr>
          <w:color w:val="auto"/>
        </w:rPr>
        <w:t xml:space="preserve"> </w:t>
      </w:r>
      <w:r w:rsidR="0091154B">
        <w:rPr>
          <w:color w:val="auto"/>
        </w:rPr>
        <w:t xml:space="preserve">Izsoles dalībnieks maksā AS </w:t>
      </w:r>
      <w:r w:rsidR="0091154B" w:rsidRPr="00DE0472">
        <w:rPr>
          <w:color w:val="auto"/>
        </w:rPr>
        <w:t>"Conexus Baltic Grid"</w:t>
      </w:r>
      <w:r w:rsidR="00C47D31">
        <w:rPr>
          <w:color w:val="auto"/>
        </w:rPr>
        <w:t xml:space="preserve"> </w:t>
      </w:r>
      <w:r w:rsidR="0091154B">
        <w:rPr>
          <w:color w:val="auto"/>
        </w:rPr>
        <w:t>papildus</w:t>
      </w:r>
      <w:r w:rsidR="00EB2152">
        <w:rPr>
          <w:color w:val="auto"/>
        </w:rPr>
        <w:t xml:space="preserve"> </w:t>
      </w:r>
      <w:r w:rsidR="00716F52">
        <w:rPr>
          <w:color w:val="auto"/>
        </w:rPr>
        <w:t>2022</w:t>
      </w:r>
      <w:r w:rsidR="00716F52" w:rsidRPr="007E7CAB">
        <w:rPr>
          <w:color w:val="auto"/>
        </w:rPr>
        <w:t>./</w:t>
      </w:r>
      <w:r w:rsidR="00716F52">
        <w:rPr>
          <w:color w:val="auto"/>
        </w:rPr>
        <w:t>2023</w:t>
      </w:r>
      <w:r w:rsidR="00716F52" w:rsidRPr="007E7CAB">
        <w:rPr>
          <w:color w:val="auto"/>
        </w:rPr>
        <w:t>.</w:t>
      </w:r>
      <w:r w:rsidR="00716F52">
        <w:rPr>
          <w:color w:val="auto"/>
        </w:rPr>
        <w:t xml:space="preserve"> </w:t>
      </w:r>
      <w:r w:rsidR="0091154B">
        <w:rPr>
          <w:color w:val="auto"/>
        </w:rPr>
        <w:t>gada krātuves ciklam noteiktajam Jaudas produkta tarifam</w:t>
      </w:r>
      <w:r w:rsidR="00D12D9C">
        <w:rPr>
          <w:color w:val="auto"/>
        </w:rPr>
        <w:t xml:space="preserve"> </w:t>
      </w:r>
      <w:r w:rsidR="00B45268" w:rsidRPr="00A07C59">
        <w:rPr>
          <w:color w:val="auto"/>
        </w:rPr>
        <w:t>–</w:t>
      </w:r>
      <w:r w:rsidR="00247869">
        <w:rPr>
          <w:color w:val="auto"/>
        </w:rPr>
        <w:softHyphen/>
      </w:r>
      <w:r w:rsidR="00247869">
        <w:rPr>
          <w:color w:val="auto"/>
        </w:rPr>
        <w:softHyphen/>
      </w:r>
      <w:r w:rsidR="00247869">
        <w:rPr>
          <w:color w:val="auto"/>
        </w:rPr>
        <w:softHyphen/>
      </w:r>
      <w:r w:rsidR="00D12D9C">
        <w:rPr>
          <w:color w:val="auto"/>
        </w:rPr>
        <w:t xml:space="preserve"> </w:t>
      </w:r>
      <w:r w:rsidR="002A5B96" w:rsidRPr="002A5B96">
        <w:rPr>
          <w:color w:val="auto"/>
        </w:rPr>
        <w:t>0</w:t>
      </w:r>
      <w:r w:rsidR="002A5B96">
        <w:rPr>
          <w:color w:val="auto"/>
        </w:rPr>
        <w:t>,</w:t>
      </w:r>
      <w:r w:rsidR="002A5B96" w:rsidRPr="002A5B96">
        <w:rPr>
          <w:color w:val="auto"/>
        </w:rPr>
        <w:t xml:space="preserve">8147 </w:t>
      </w:r>
      <w:r w:rsidR="0091154B">
        <w:rPr>
          <w:color w:val="auto"/>
        </w:rPr>
        <w:t>EUR/MWh.</w:t>
      </w:r>
    </w:p>
    <w:p w14:paraId="04E40294" w14:textId="25729DC5" w:rsidR="002C35D8" w:rsidRPr="00A07C59" w:rsidRDefault="004E6520" w:rsidP="00A46200">
      <w:pPr>
        <w:pStyle w:val="Default"/>
        <w:spacing w:after="120"/>
        <w:jc w:val="both"/>
        <w:rPr>
          <w:color w:val="auto"/>
        </w:rPr>
      </w:pPr>
      <w:r>
        <w:rPr>
          <w:color w:val="auto"/>
        </w:rPr>
        <w:t>5</w:t>
      </w:r>
      <w:r w:rsidR="002C35D8" w:rsidRPr="00A07C59">
        <w:rPr>
          <w:color w:val="auto"/>
        </w:rPr>
        <w:t xml:space="preserve">.5. Izsoles dalībnieka maksa AS "Conexus Baltic Grid" par Izsoles rezultātā piešķirto krātuves jaudu Izsoles dalībniekam tiek noteikta, reizinot prēmiju (EUR (bez (PVN)) ar Izsoles rezultātā piešķirto </w:t>
      </w:r>
      <w:r w:rsidR="002A79F9">
        <w:rPr>
          <w:color w:val="auto"/>
        </w:rPr>
        <w:t>J</w:t>
      </w:r>
      <w:r w:rsidR="002C35D8" w:rsidRPr="00A07C59">
        <w:rPr>
          <w:color w:val="auto"/>
        </w:rPr>
        <w:t xml:space="preserve">audas produkta apjomu (MWh). </w:t>
      </w:r>
    </w:p>
    <w:p w14:paraId="3A43A488" w14:textId="473A43C8" w:rsidR="002C35D8" w:rsidRPr="00A07C59" w:rsidRDefault="004E6520" w:rsidP="00A46200">
      <w:pPr>
        <w:pStyle w:val="Default"/>
        <w:spacing w:after="120"/>
        <w:jc w:val="both"/>
        <w:rPr>
          <w:color w:val="auto"/>
        </w:rPr>
      </w:pPr>
      <w:r>
        <w:rPr>
          <w:color w:val="auto"/>
        </w:rPr>
        <w:t>5</w:t>
      </w:r>
      <w:r w:rsidR="002C35D8" w:rsidRPr="00A07C59">
        <w:rPr>
          <w:color w:val="auto"/>
        </w:rPr>
        <w:t xml:space="preserve">.6. Maksa par Izsoles rezultātā Izsoles dalībniekam noteikto prēmiju iekļaujama </w:t>
      </w:r>
      <w:r w:rsidR="00A10B69">
        <w:rPr>
          <w:color w:val="auto"/>
        </w:rPr>
        <w:t xml:space="preserve">AS </w:t>
      </w:r>
      <w:r w:rsidR="00A10B69" w:rsidRPr="006E0D04">
        <w:rPr>
          <w:color w:val="auto"/>
        </w:rPr>
        <w:t>"Conexus Baltic Grid" izrakst</w:t>
      </w:r>
      <w:r w:rsidR="00A10B69">
        <w:rPr>
          <w:color w:val="auto"/>
        </w:rPr>
        <w:t>ītajā rēķinā par Izsoles dalībnieka</w:t>
      </w:r>
      <w:r w:rsidR="00741C1A">
        <w:rPr>
          <w:color w:val="auto"/>
        </w:rPr>
        <w:t xml:space="preserve"> rezervēto uzglabāšanas pakalpojumu</w:t>
      </w:r>
      <w:r w:rsidR="00FD72CC">
        <w:rPr>
          <w:color w:val="auto"/>
        </w:rPr>
        <w:t xml:space="preserve"> par daļu no kopējās prēmijas maksas proporcionāli atlikušajiem mēnešiem</w:t>
      </w:r>
      <w:r w:rsidR="002C35D8" w:rsidRPr="00A07C59">
        <w:rPr>
          <w:color w:val="auto"/>
        </w:rPr>
        <w:t xml:space="preserve">. </w:t>
      </w:r>
    </w:p>
    <w:p w14:paraId="500BDB29" w14:textId="493B5EB5" w:rsidR="002C35D8" w:rsidRPr="00A07C59" w:rsidRDefault="004E6520" w:rsidP="00A07C59">
      <w:pPr>
        <w:pStyle w:val="Default"/>
        <w:spacing w:after="120"/>
        <w:jc w:val="both"/>
        <w:rPr>
          <w:color w:val="auto"/>
        </w:rPr>
      </w:pPr>
      <w:r>
        <w:rPr>
          <w:color w:val="auto"/>
        </w:rPr>
        <w:t>5</w:t>
      </w:r>
      <w:r w:rsidR="002C35D8" w:rsidRPr="00A07C59">
        <w:rPr>
          <w:color w:val="auto"/>
        </w:rPr>
        <w:t xml:space="preserve">.7. Samaksu par Izsoles rezultātā noteikto prēmiju Izsoles dalībnieks </w:t>
      </w:r>
      <w:r w:rsidR="00711DC6" w:rsidRPr="00FE09D4">
        <w:t>veic saskaņā ar uzglabāšanas p</w:t>
      </w:r>
      <w:r w:rsidR="00711DC6">
        <w:t>akalpojuma līgumā noteikto s</w:t>
      </w:r>
      <w:r w:rsidR="00711DC6" w:rsidRPr="00FE09D4">
        <w:t>amaksas un norēķinu veikšanas kārtīb</w:t>
      </w:r>
      <w:r w:rsidR="00711DC6">
        <w:t>u</w:t>
      </w:r>
      <w:r w:rsidR="002C35D8" w:rsidRPr="00A07C59">
        <w:rPr>
          <w:color w:val="auto"/>
        </w:rPr>
        <w:t xml:space="preserve">. </w:t>
      </w:r>
    </w:p>
    <w:p w14:paraId="1631BDC1" w14:textId="7615997E" w:rsidR="00A3437A" w:rsidRPr="000B4590" w:rsidRDefault="004E6520" w:rsidP="00A07C59">
      <w:pPr>
        <w:pStyle w:val="Default"/>
        <w:spacing w:after="120"/>
        <w:jc w:val="both"/>
        <w:rPr>
          <w:color w:val="auto"/>
        </w:rPr>
      </w:pPr>
      <w:r>
        <w:rPr>
          <w:color w:val="auto"/>
        </w:rPr>
        <w:t>5</w:t>
      </w:r>
      <w:r w:rsidR="002C35D8" w:rsidRPr="00A07C59">
        <w:rPr>
          <w:color w:val="auto"/>
        </w:rPr>
        <w:t xml:space="preserve">.8. </w:t>
      </w:r>
      <w:r w:rsidR="00173FC0" w:rsidRPr="005F4249">
        <w:t xml:space="preserve">Pušu savstarpējās saistības un atbildība par Izsoles rezultātā Izsoles dalībniekam </w:t>
      </w:r>
      <w:r w:rsidR="00173FC0">
        <w:t xml:space="preserve">piešķirto </w:t>
      </w:r>
      <w:r w:rsidR="00244494">
        <w:t>Jaudas p</w:t>
      </w:r>
      <w:r w:rsidR="000868D0">
        <w:t>rodukta</w:t>
      </w:r>
      <w:r w:rsidR="00173FC0">
        <w:t xml:space="preserve"> apjomu un </w:t>
      </w:r>
      <w:r w:rsidR="00173FC0" w:rsidRPr="005F4249">
        <w:t>noteikto prēmiju</w:t>
      </w:r>
      <w:r w:rsidR="00173FC0">
        <w:t xml:space="preserve"> nosak</w:t>
      </w:r>
      <w:r w:rsidR="00810D6F">
        <w:t>āma</w:t>
      </w:r>
      <w:r w:rsidR="00173FC0">
        <w:t xml:space="preserve"> </w:t>
      </w:r>
      <w:r w:rsidR="00173FC0" w:rsidRPr="001C7E8D">
        <w:t>uzglabāšanas pakalpojuma līgum</w:t>
      </w:r>
      <w:r w:rsidR="00810D6F">
        <w:t>a ietvaros</w:t>
      </w:r>
      <w:r w:rsidR="002C35D8" w:rsidRPr="000B4590">
        <w:rPr>
          <w:color w:val="auto"/>
        </w:rPr>
        <w:t xml:space="preserve">. </w:t>
      </w:r>
    </w:p>
    <w:p w14:paraId="71E380FE" w14:textId="391B578C" w:rsidR="002C35D8" w:rsidRPr="00A07C59" w:rsidRDefault="004E6520" w:rsidP="00A07C59">
      <w:pPr>
        <w:pStyle w:val="Default"/>
        <w:spacing w:after="120"/>
        <w:jc w:val="both"/>
        <w:rPr>
          <w:color w:val="auto"/>
        </w:rPr>
      </w:pPr>
      <w:r>
        <w:rPr>
          <w:color w:val="auto"/>
        </w:rPr>
        <w:t>5</w:t>
      </w:r>
      <w:r w:rsidR="00A3437A" w:rsidRPr="000B4590">
        <w:rPr>
          <w:color w:val="auto"/>
        </w:rPr>
        <w:t xml:space="preserve">.9. </w:t>
      </w:r>
      <w:r w:rsidR="000B4590" w:rsidRPr="000B4590">
        <w:rPr>
          <w:color w:val="auto"/>
        </w:rPr>
        <w:t xml:space="preserve">Izsoles rezultātā Izsoles </w:t>
      </w:r>
      <w:r w:rsidR="000B4590" w:rsidRPr="007E7CAB">
        <w:rPr>
          <w:color w:val="auto"/>
        </w:rPr>
        <w:t xml:space="preserve">dalībniekam piešķirtajam </w:t>
      </w:r>
      <w:r w:rsidR="002A79F9" w:rsidRPr="007E7CAB">
        <w:rPr>
          <w:color w:val="auto"/>
        </w:rPr>
        <w:t>J</w:t>
      </w:r>
      <w:r w:rsidR="000B4590" w:rsidRPr="007E7CAB">
        <w:rPr>
          <w:color w:val="auto"/>
        </w:rPr>
        <w:t>audas produkta apjomam noteiktā p</w:t>
      </w:r>
      <w:r w:rsidR="00A3437A" w:rsidRPr="007E7CAB">
        <w:rPr>
          <w:color w:val="auto"/>
        </w:rPr>
        <w:t xml:space="preserve">rēmija </w:t>
      </w:r>
      <w:r w:rsidR="000B4590" w:rsidRPr="007E7CAB">
        <w:rPr>
          <w:color w:val="auto"/>
        </w:rPr>
        <w:t>iekļaujama saistību izpildes nodrošinājuma apmēra aprēķinā, kas tiek noteikts saskaņā ar Krātuves lietošanas noteikumu 76.</w:t>
      </w:r>
      <w:r w:rsidR="00EB2152" w:rsidRPr="007E7CAB">
        <w:rPr>
          <w:color w:val="auto"/>
        </w:rPr>
        <w:t xml:space="preserve"> </w:t>
      </w:r>
      <w:r w:rsidR="000B4590" w:rsidRPr="007E7CAB">
        <w:rPr>
          <w:color w:val="auto"/>
        </w:rPr>
        <w:t>punktu</w:t>
      </w:r>
      <w:r w:rsidR="00A3437A" w:rsidRPr="007E7CAB">
        <w:rPr>
          <w:color w:val="auto"/>
        </w:rPr>
        <w:t>.</w:t>
      </w:r>
    </w:p>
    <w:p w14:paraId="3FD88CF4" w14:textId="04ACCB8B" w:rsidR="00B83DB9" w:rsidRDefault="00B83DB9">
      <w:pPr>
        <w:spacing w:after="160" w:line="259" w:lineRule="auto"/>
        <w:rPr>
          <w:rFonts w:eastAsiaTheme="minorHAnsi"/>
          <w:sz w:val="23"/>
          <w:szCs w:val="23"/>
          <w:lang w:val="lv-LV" w:eastAsia="en-US"/>
        </w:rPr>
      </w:pPr>
      <w:r w:rsidRPr="00FE09D4">
        <w:rPr>
          <w:sz w:val="23"/>
          <w:szCs w:val="23"/>
          <w:lang w:val="lv-LV"/>
        </w:rPr>
        <w:br w:type="page"/>
      </w:r>
    </w:p>
    <w:p w14:paraId="04D950B3" w14:textId="3241A522" w:rsidR="00111E50" w:rsidRPr="00111E50" w:rsidRDefault="00244494" w:rsidP="00111E50">
      <w:pPr>
        <w:pStyle w:val="Heading1"/>
        <w:spacing w:before="0"/>
        <w:jc w:val="right"/>
        <w:rPr>
          <w:rFonts w:ascii="Times New Roman" w:hAnsi="Times New Roman" w:cs="Times New Roman"/>
          <w:color w:val="auto"/>
          <w:sz w:val="20"/>
          <w:szCs w:val="20"/>
          <w:lang w:val="lv-LV"/>
        </w:rPr>
      </w:pPr>
      <w:bookmarkStart w:id="2" w:name="_Toc486593547"/>
      <w:bookmarkStart w:id="3" w:name="_Toc22831643"/>
      <w:r>
        <w:rPr>
          <w:rFonts w:ascii="Times New Roman" w:hAnsi="Times New Roman" w:cs="Times New Roman"/>
          <w:color w:val="auto"/>
          <w:sz w:val="20"/>
          <w:szCs w:val="20"/>
          <w:lang w:val="lv-LV"/>
        </w:rPr>
        <w:lastRenderedPageBreak/>
        <w:t>P</w:t>
      </w:r>
      <w:r w:rsidR="00111E50" w:rsidRPr="00111E50">
        <w:rPr>
          <w:rFonts w:ascii="Times New Roman" w:hAnsi="Times New Roman" w:cs="Times New Roman"/>
          <w:color w:val="auto"/>
          <w:sz w:val="20"/>
          <w:szCs w:val="20"/>
          <w:lang w:val="lv-LV"/>
        </w:rPr>
        <w:t>ielikums</w:t>
      </w:r>
      <w:r w:rsidR="00E0284E">
        <w:rPr>
          <w:rFonts w:ascii="Times New Roman" w:hAnsi="Times New Roman" w:cs="Times New Roman"/>
          <w:color w:val="auto"/>
          <w:sz w:val="20"/>
          <w:szCs w:val="20"/>
          <w:lang w:val="lv-LV"/>
        </w:rPr>
        <w:t xml:space="preserve"> </w:t>
      </w:r>
    </w:p>
    <w:p w14:paraId="1FF98D24" w14:textId="0A30DFFF" w:rsidR="00111E50" w:rsidRPr="00111E50" w:rsidRDefault="00716F52" w:rsidP="00111E50">
      <w:pPr>
        <w:pStyle w:val="Heading1"/>
        <w:spacing w:before="0"/>
        <w:jc w:val="right"/>
        <w:rPr>
          <w:rFonts w:ascii="Times New Roman" w:hAnsi="Times New Roman" w:cs="Times New Roman"/>
          <w:color w:val="auto"/>
          <w:sz w:val="20"/>
          <w:szCs w:val="20"/>
          <w:lang w:val="lv-LV"/>
        </w:rPr>
      </w:pPr>
      <w:r w:rsidRPr="00716F52">
        <w:rPr>
          <w:rFonts w:ascii="Times New Roman" w:hAnsi="Times New Roman" w:cs="Times New Roman"/>
          <w:color w:val="auto"/>
          <w:sz w:val="20"/>
          <w:szCs w:val="20"/>
          <w:lang w:val="lv-LV"/>
        </w:rPr>
        <w:t>2022./2023.</w:t>
      </w:r>
      <w:r>
        <w:rPr>
          <w:rFonts w:ascii="Times New Roman" w:hAnsi="Times New Roman" w:cs="Times New Roman"/>
          <w:color w:val="auto"/>
          <w:sz w:val="20"/>
          <w:szCs w:val="20"/>
          <w:lang w:val="lv-LV"/>
        </w:rPr>
        <w:t xml:space="preserve"> </w:t>
      </w:r>
      <w:r w:rsidR="00111E50" w:rsidRPr="00111E50">
        <w:rPr>
          <w:rFonts w:ascii="Times New Roman" w:hAnsi="Times New Roman" w:cs="Times New Roman"/>
          <w:color w:val="auto"/>
          <w:sz w:val="20"/>
          <w:szCs w:val="20"/>
          <w:lang w:val="lv-LV"/>
        </w:rPr>
        <w:t>gada krātuves cikla</w:t>
      </w:r>
    </w:p>
    <w:p w14:paraId="43A854B3" w14:textId="3887EBC9" w:rsidR="00111E50" w:rsidRPr="00111E50" w:rsidRDefault="001C7D84" w:rsidP="00111E50">
      <w:pPr>
        <w:pStyle w:val="Heading1"/>
        <w:spacing w:before="0"/>
        <w:jc w:val="right"/>
        <w:rPr>
          <w:rFonts w:ascii="Times New Roman" w:hAnsi="Times New Roman" w:cs="Times New Roman"/>
          <w:color w:val="auto"/>
          <w:sz w:val="20"/>
          <w:szCs w:val="20"/>
          <w:lang w:val="lv-LV"/>
        </w:rPr>
      </w:pPr>
      <w:bookmarkStart w:id="4" w:name="_Hlk106112218"/>
      <w:r>
        <w:rPr>
          <w:rFonts w:ascii="Times New Roman" w:hAnsi="Times New Roman" w:cs="Times New Roman"/>
          <w:color w:val="auto"/>
          <w:sz w:val="20"/>
          <w:szCs w:val="20"/>
          <w:lang w:val="lv-LV"/>
        </w:rPr>
        <w:t>Atslēdzamās</w:t>
      </w:r>
      <w:r w:rsidR="00111E50" w:rsidRPr="00111E50">
        <w:rPr>
          <w:rFonts w:ascii="Times New Roman" w:hAnsi="Times New Roman" w:cs="Times New Roman"/>
          <w:color w:val="auto"/>
          <w:sz w:val="20"/>
          <w:szCs w:val="20"/>
          <w:lang w:val="lv-LV"/>
        </w:rPr>
        <w:t xml:space="preserve"> </w:t>
      </w:r>
      <w:bookmarkEnd w:id="4"/>
      <w:r w:rsidR="00EB2152" w:rsidRPr="00EB2152">
        <w:rPr>
          <w:rFonts w:ascii="Times New Roman" w:hAnsi="Times New Roman" w:cs="Times New Roman"/>
          <w:color w:val="auto"/>
          <w:sz w:val="20"/>
          <w:szCs w:val="20"/>
          <w:lang w:val="lv-LV"/>
        </w:rPr>
        <w:t xml:space="preserve">jaudas </w:t>
      </w:r>
      <w:r w:rsidR="00111E50" w:rsidRPr="00111E50">
        <w:rPr>
          <w:rFonts w:ascii="Times New Roman" w:hAnsi="Times New Roman" w:cs="Times New Roman"/>
          <w:color w:val="auto"/>
          <w:sz w:val="20"/>
          <w:szCs w:val="20"/>
          <w:lang w:val="lv-LV"/>
        </w:rPr>
        <w:t>produkta izsoles nolikumam</w:t>
      </w:r>
    </w:p>
    <w:p w14:paraId="4B85F98F" w14:textId="5998769E" w:rsidR="00B83DB9" w:rsidRDefault="00111E50" w:rsidP="00111E50">
      <w:pPr>
        <w:pStyle w:val="Heading1"/>
        <w:spacing w:before="0"/>
        <w:jc w:val="right"/>
        <w:rPr>
          <w:rFonts w:ascii="Times New Roman" w:hAnsi="Times New Roman" w:cs="Times New Roman"/>
          <w:color w:val="auto"/>
          <w:sz w:val="20"/>
          <w:szCs w:val="20"/>
          <w:lang w:val="lv-LV"/>
        </w:rPr>
      </w:pPr>
      <w:r w:rsidRPr="00111E50">
        <w:rPr>
          <w:rFonts w:ascii="Times New Roman" w:hAnsi="Times New Roman" w:cs="Times New Roman"/>
          <w:color w:val="auto"/>
          <w:sz w:val="20"/>
          <w:szCs w:val="20"/>
          <w:lang w:val="lv-LV"/>
        </w:rPr>
        <w:t>(id. Nr. Conexus Baltic Grid</w:t>
      </w:r>
      <w:r w:rsidR="00EB2152" w:rsidRPr="001C7D84">
        <w:rPr>
          <w:lang w:val="lv-LV"/>
        </w:rPr>
        <w:t xml:space="preserve"> </w:t>
      </w:r>
      <w:r w:rsidR="001C7D84" w:rsidRPr="001C7D84">
        <w:rPr>
          <w:rFonts w:ascii="Times New Roman" w:hAnsi="Times New Roman" w:cs="Times New Roman"/>
          <w:color w:val="auto"/>
          <w:sz w:val="20"/>
          <w:szCs w:val="20"/>
          <w:lang w:val="lv-LV"/>
        </w:rPr>
        <w:t>IPGKAP/2022/</w:t>
      </w:r>
      <w:r w:rsidR="002E6A93">
        <w:rPr>
          <w:rFonts w:ascii="Times New Roman" w:hAnsi="Times New Roman" w:cs="Times New Roman"/>
          <w:color w:val="auto"/>
          <w:sz w:val="20"/>
          <w:szCs w:val="20"/>
          <w:lang w:val="lv-LV"/>
        </w:rPr>
        <w:t>5</w:t>
      </w:r>
      <w:r w:rsidRPr="00111E50">
        <w:rPr>
          <w:rFonts w:ascii="Times New Roman" w:hAnsi="Times New Roman" w:cs="Times New Roman"/>
          <w:color w:val="auto"/>
          <w:sz w:val="20"/>
          <w:szCs w:val="20"/>
          <w:lang w:val="lv-LV"/>
        </w:rPr>
        <w:t>)</w:t>
      </w:r>
    </w:p>
    <w:p w14:paraId="341A6F0C" w14:textId="77777777" w:rsidR="00111E50" w:rsidRPr="00111E50" w:rsidRDefault="00111E50" w:rsidP="00111E50">
      <w:pPr>
        <w:rPr>
          <w:lang w:val="lv-LV" w:eastAsia="en-US"/>
        </w:rPr>
      </w:pPr>
    </w:p>
    <w:bookmarkEnd w:id="2"/>
    <w:bookmarkEnd w:id="3"/>
    <w:p w14:paraId="2957CF76" w14:textId="3ED9CE3B" w:rsidR="00B83DB9" w:rsidRPr="00EA603D" w:rsidRDefault="006907FF" w:rsidP="00B83DB9">
      <w:pPr>
        <w:jc w:val="center"/>
        <w:rPr>
          <w:b/>
          <w:bCs/>
          <w:sz w:val="21"/>
          <w:szCs w:val="21"/>
          <w:lang w:val="lv-LV" w:eastAsia="en-US"/>
        </w:rPr>
      </w:pPr>
      <w:r w:rsidRPr="00EA603D">
        <w:rPr>
          <w:b/>
          <w:bCs/>
          <w:sz w:val="21"/>
          <w:szCs w:val="21"/>
          <w:lang w:val="lv-LV" w:eastAsia="en-US"/>
        </w:rPr>
        <w:t xml:space="preserve">IZSOLES PIEDĀVĀJUMA LAPA </w:t>
      </w:r>
      <w:r w:rsidR="00B83DB9" w:rsidRPr="00EA603D">
        <w:rPr>
          <w:b/>
          <w:bCs/>
          <w:sz w:val="21"/>
          <w:szCs w:val="21"/>
          <w:lang w:val="lv-LV" w:eastAsia="en-US"/>
        </w:rPr>
        <w:t>(PIEDĀVĀJUM</w:t>
      </w:r>
      <w:r w:rsidRPr="00EA603D">
        <w:rPr>
          <w:b/>
          <w:bCs/>
          <w:sz w:val="21"/>
          <w:szCs w:val="21"/>
          <w:lang w:val="lv-LV" w:eastAsia="en-US"/>
        </w:rPr>
        <w:t>S</w:t>
      </w:r>
      <w:r w:rsidR="00B83DB9" w:rsidRPr="00EA603D">
        <w:rPr>
          <w:b/>
          <w:bCs/>
          <w:sz w:val="21"/>
          <w:szCs w:val="21"/>
          <w:lang w:val="lv-LV" w:eastAsia="en-US"/>
        </w:rPr>
        <w:t>)</w:t>
      </w:r>
    </w:p>
    <w:p w14:paraId="090624DE" w14:textId="57C9E937" w:rsidR="00B83DB9" w:rsidRPr="00EA603D" w:rsidRDefault="001C7D84" w:rsidP="00B83DB9">
      <w:pPr>
        <w:jc w:val="center"/>
        <w:rPr>
          <w:b/>
          <w:bCs/>
          <w:sz w:val="21"/>
          <w:szCs w:val="21"/>
          <w:lang w:val="lv-LV" w:eastAsia="en-US"/>
        </w:rPr>
      </w:pPr>
      <w:r w:rsidRPr="001C7D84">
        <w:rPr>
          <w:b/>
          <w:bCs/>
          <w:sz w:val="21"/>
          <w:szCs w:val="21"/>
          <w:lang w:val="lv-LV" w:eastAsia="en-US"/>
        </w:rPr>
        <w:t xml:space="preserve">Atslēdzamās </w:t>
      </w:r>
      <w:r w:rsidR="00EB2152" w:rsidRPr="00EA603D">
        <w:rPr>
          <w:b/>
          <w:bCs/>
          <w:sz w:val="21"/>
          <w:szCs w:val="21"/>
          <w:lang w:val="lv-LV" w:eastAsia="en-US"/>
        </w:rPr>
        <w:t xml:space="preserve">jaudas </w:t>
      </w:r>
      <w:r w:rsidR="00B83DB9" w:rsidRPr="00EA603D">
        <w:rPr>
          <w:b/>
          <w:bCs/>
          <w:sz w:val="21"/>
          <w:szCs w:val="21"/>
          <w:lang w:val="lv-LV" w:eastAsia="en-US"/>
        </w:rPr>
        <w:t xml:space="preserve">produkta izsolei (id. Nr. Conexus Baltic Grid </w:t>
      </w:r>
      <w:r w:rsidRPr="001C7D84">
        <w:rPr>
          <w:b/>
          <w:bCs/>
          <w:sz w:val="21"/>
          <w:szCs w:val="21"/>
          <w:lang w:val="lv-LV" w:eastAsia="en-US"/>
        </w:rPr>
        <w:t>IPGKAP/2022/</w:t>
      </w:r>
      <w:r w:rsidR="002E6A93">
        <w:rPr>
          <w:b/>
          <w:bCs/>
          <w:sz w:val="21"/>
          <w:szCs w:val="21"/>
          <w:lang w:val="lv-LV" w:eastAsia="en-US"/>
        </w:rPr>
        <w:t>5</w:t>
      </w:r>
      <w:r w:rsidR="00EB2152" w:rsidRPr="00EA603D">
        <w:rPr>
          <w:b/>
          <w:bCs/>
          <w:sz w:val="21"/>
          <w:szCs w:val="21"/>
          <w:lang w:val="lv-LV" w:eastAsia="en-US"/>
        </w:rPr>
        <w:t>)</w:t>
      </w:r>
    </w:p>
    <w:p w14:paraId="4EDC0A55" w14:textId="77777777" w:rsidR="00B83DB9" w:rsidRPr="00EA603D" w:rsidRDefault="00B83DB9" w:rsidP="00B83DB9">
      <w:pPr>
        <w:jc w:val="center"/>
        <w:rPr>
          <w:b/>
          <w:bCs/>
          <w:sz w:val="21"/>
          <w:szCs w:val="21"/>
          <w:lang w:val="lv-LV"/>
        </w:rPr>
      </w:pPr>
    </w:p>
    <w:tbl>
      <w:tblPr>
        <w:tblW w:w="1800" w:type="pct"/>
        <w:tblBorders>
          <w:top w:val="outset" w:sz="2" w:space="0" w:color="414142"/>
          <w:left w:val="outset" w:sz="2" w:space="0" w:color="414142"/>
          <w:bottom w:val="outset" w:sz="2" w:space="0" w:color="414142"/>
          <w:right w:val="outset" w:sz="2" w:space="0" w:color="414142"/>
        </w:tblBorders>
        <w:tblCellMar>
          <w:top w:w="40" w:type="dxa"/>
          <w:left w:w="40" w:type="dxa"/>
          <w:bottom w:w="40" w:type="dxa"/>
          <w:right w:w="40" w:type="dxa"/>
        </w:tblCellMar>
        <w:tblLook w:val="04A0" w:firstRow="1" w:lastRow="0" w:firstColumn="1" w:lastColumn="0" w:noHBand="0" w:noVBand="1"/>
      </w:tblPr>
      <w:tblGrid>
        <w:gridCol w:w="3266"/>
      </w:tblGrid>
      <w:tr w:rsidR="00B83DB9" w:rsidRPr="00EA603D" w14:paraId="5FEA6B52" w14:textId="77777777" w:rsidTr="00B83DB9">
        <w:tc>
          <w:tcPr>
            <w:tcW w:w="5000" w:type="pct"/>
            <w:tcBorders>
              <w:top w:val="nil"/>
              <w:left w:val="nil"/>
              <w:bottom w:val="nil"/>
              <w:right w:val="nil"/>
            </w:tcBorders>
            <w:vAlign w:val="center"/>
            <w:hideMark/>
          </w:tcPr>
          <w:p w14:paraId="4BC11F01" w14:textId="77777777" w:rsidR="00B83DB9" w:rsidRPr="00EA603D" w:rsidRDefault="00B83DB9" w:rsidP="00F81392">
            <w:pPr>
              <w:rPr>
                <w:sz w:val="21"/>
                <w:szCs w:val="21"/>
                <w:lang w:val="lv-LV"/>
              </w:rPr>
            </w:pPr>
            <w:r w:rsidRPr="00EA603D">
              <w:rPr>
                <w:sz w:val="21"/>
                <w:szCs w:val="21"/>
                <w:lang w:val="lv-LV"/>
              </w:rPr>
              <w:t>Datums skatāms laika zīmogā</w:t>
            </w:r>
          </w:p>
        </w:tc>
      </w:tr>
      <w:tr w:rsidR="00B83DB9" w:rsidRPr="00EA603D" w14:paraId="36F244A7" w14:textId="77777777" w:rsidTr="00B83DB9">
        <w:tc>
          <w:tcPr>
            <w:tcW w:w="5000" w:type="pct"/>
            <w:tcBorders>
              <w:top w:val="nil"/>
              <w:left w:val="nil"/>
              <w:bottom w:val="nil"/>
              <w:right w:val="nil"/>
            </w:tcBorders>
            <w:vAlign w:val="center"/>
            <w:hideMark/>
          </w:tcPr>
          <w:p w14:paraId="3F2415CF" w14:textId="77777777" w:rsidR="00B83DB9" w:rsidRPr="00EA603D" w:rsidRDefault="00B83DB9" w:rsidP="00F81392">
            <w:pPr>
              <w:rPr>
                <w:sz w:val="21"/>
                <w:szCs w:val="21"/>
                <w:lang w:val="lv-LV"/>
              </w:rPr>
            </w:pPr>
            <w:r w:rsidRPr="00EA603D">
              <w:rPr>
                <w:sz w:val="21"/>
                <w:szCs w:val="21"/>
                <w:lang w:val="lv-LV"/>
              </w:rPr>
              <w:t> </w:t>
            </w:r>
          </w:p>
        </w:tc>
      </w:tr>
    </w:tbl>
    <w:p w14:paraId="0740999B" w14:textId="58051724" w:rsidR="00B83DB9" w:rsidRPr="00EA603D" w:rsidRDefault="00B83DB9" w:rsidP="00B83DB9">
      <w:pPr>
        <w:rPr>
          <w:sz w:val="21"/>
          <w:szCs w:val="21"/>
          <w:lang w:val="lv-LV"/>
        </w:rPr>
      </w:pPr>
    </w:p>
    <w:tbl>
      <w:tblPr>
        <w:tblW w:w="5000" w:type="pct"/>
        <w:tblBorders>
          <w:top w:val="outset" w:sz="2" w:space="0" w:color="414142"/>
          <w:left w:val="outset" w:sz="2" w:space="0" w:color="414142"/>
          <w:bottom w:val="outset" w:sz="2" w:space="0" w:color="414142"/>
          <w:right w:val="outset" w:sz="2" w:space="0" w:color="414142"/>
        </w:tblBorders>
        <w:tblCellMar>
          <w:top w:w="40" w:type="dxa"/>
          <w:left w:w="40" w:type="dxa"/>
          <w:bottom w:w="40" w:type="dxa"/>
          <w:right w:w="40" w:type="dxa"/>
        </w:tblCellMar>
        <w:tblLook w:val="04A0" w:firstRow="1" w:lastRow="0" w:firstColumn="1" w:lastColumn="0" w:noHBand="0" w:noVBand="1"/>
      </w:tblPr>
      <w:tblGrid>
        <w:gridCol w:w="1270"/>
        <w:gridCol w:w="3628"/>
        <w:gridCol w:w="4173"/>
      </w:tblGrid>
      <w:tr w:rsidR="00B83DB9" w:rsidRPr="00EA603D" w14:paraId="4BC70FEC" w14:textId="77777777" w:rsidTr="00F81392">
        <w:tc>
          <w:tcPr>
            <w:tcW w:w="700" w:type="pct"/>
            <w:tcBorders>
              <w:top w:val="nil"/>
              <w:left w:val="nil"/>
              <w:bottom w:val="nil"/>
              <w:right w:val="nil"/>
            </w:tcBorders>
            <w:hideMark/>
          </w:tcPr>
          <w:p w14:paraId="5451881A" w14:textId="77777777" w:rsidR="00B83DB9" w:rsidRPr="00EA603D" w:rsidRDefault="00B83DB9" w:rsidP="00F81392">
            <w:pPr>
              <w:rPr>
                <w:sz w:val="21"/>
                <w:szCs w:val="21"/>
                <w:lang w:val="lv-LV"/>
              </w:rPr>
            </w:pPr>
            <w:r w:rsidRPr="00EA603D">
              <w:rPr>
                <w:sz w:val="21"/>
                <w:szCs w:val="21"/>
                <w:lang w:val="lv-LV"/>
              </w:rPr>
              <w:t>Izsoles dalībnieks:</w:t>
            </w:r>
          </w:p>
        </w:tc>
        <w:tc>
          <w:tcPr>
            <w:tcW w:w="2000" w:type="pct"/>
            <w:tcBorders>
              <w:top w:val="nil"/>
              <w:left w:val="nil"/>
              <w:bottom w:val="single" w:sz="6" w:space="0" w:color="414142"/>
              <w:right w:val="nil"/>
            </w:tcBorders>
            <w:vAlign w:val="center"/>
            <w:hideMark/>
          </w:tcPr>
          <w:p w14:paraId="56DF4182" w14:textId="77777777" w:rsidR="00B83DB9" w:rsidRPr="00EA603D" w:rsidRDefault="00B83DB9" w:rsidP="00F81392">
            <w:pPr>
              <w:rPr>
                <w:sz w:val="21"/>
                <w:szCs w:val="21"/>
                <w:lang w:val="lv-LV"/>
              </w:rPr>
            </w:pPr>
            <w:r w:rsidRPr="00EA603D">
              <w:rPr>
                <w:sz w:val="21"/>
                <w:szCs w:val="21"/>
                <w:lang w:val="lv-LV"/>
              </w:rPr>
              <w:t> </w:t>
            </w:r>
          </w:p>
        </w:tc>
        <w:tc>
          <w:tcPr>
            <w:tcW w:w="2300" w:type="pct"/>
            <w:tcBorders>
              <w:top w:val="nil"/>
              <w:left w:val="nil"/>
              <w:bottom w:val="nil"/>
              <w:right w:val="nil"/>
            </w:tcBorders>
            <w:vAlign w:val="center"/>
            <w:hideMark/>
          </w:tcPr>
          <w:p w14:paraId="4DE0FFED" w14:textId="77777777" w:rsidR="00B83DB9" w:rsidRPr="00EA603D" w:rsidRDefault="00B83DB9" w:rsidP="00F81392">
            <w:pPr>
              <w:rPr>
                <w:sz w:val="21"/>
                <w:szCs w:val="21"/>
                <w:lang w:val="lv-LV"/>
              </w:rPr>
            </w:pPr>
            <w:r w:rsidRPr="00EA603D">
              <w:rPr>
                <w:sz w:val="21"/>
                <w:szCs w:val="21"/>
                <w:lang w:val="lv-LV"/>
              </w:rPr>
              <w:t> </w:t>
            </w:r>
          </w:p>
        </w:tc>
      </w:tr>
      <w:tr w:rsidR="00B83DB9" w:rsidRPr="00EA603D" w14:paraId="633A68D7" w14:textId="77777777" w:rsidTr="00F81392">
        <w:tc>
          <w:tcPr>
            <w:tcW w:w="700" w:type="pct"/>
            <w:tcBorders>
              <w:top w:val="nil"/>
              <w:left w:val="nil"/>
              <w:bottom w:val="nil"/>
              <w:right w:val="nil"/>
            </w:tcBorders>
            <w:vAlign w:val="center"/>
            <w:hideMark/>
          </w:tcPr>
          <w:p w14:paraId="2EBAAEFF" w14:textId="77777777" w:rsidR="00B83DB9" w:rsidRPr="00EA603D" w:rsidRDefault="00B83DB9" w:rsidP="00F81392">
            <w:pPr>
              <w:rPr>
                <w:sz w:val="21"/>
                <w:szCs w:val="21"/>
                <w:lang w:val="lv-LV"/>
              </w:rPr>
            </w:pPr>
            <w:r w:rsidRPr="00EA603D">
              <w:rPr>
                <w:sz w:val="21"/>
                <w:szCs w:val="21"/>
                <w:lang w:val="lv-LV"/>
              </w:rPr>
              <w:t> </w:t>
            </w:r>
          </w:p>
        </w:tc>
        <w:tc>
          <w:tcPr>
            <w:tcW w:w="4300" w:type="pct"/>
            <w:gridSpan w:val="2"/>
            <w:tcBorders>
              <w:top w:val="nil"/>
              <w:left w:val="nil"/>
              <w:bottom w:val="nil"/>
              <w:right w:val="nil"/>
            </w:tcBorders>
            <w:hideMark/>
          </w:tcPr>
          <w:p w14:paraId="4AD83372" w14:textId="77777777" w:rsidR="00B83DB9" w:rsidRPr="00EA603D" w:rsidRDefault="00B83DB9" w:rsidP="00F81392">
            <w:pPr>
              <w:rPr>
                <w:sz w:val="21"/>
                <w:szCs w:val="21"/>
                <w:lang w:val="lv-LV"/>
              </w:rPr>
            </w:pPr>
            <w:r w:rsidRPr="00EA603D">
              <w:rPr>
                <w:sz w:val="21"/>
                <w:szCs w:val="21"/>
                <w:lang w:val="lv-LV"/>
              </w:rPr>
              <w:t>EIK kods:</w:t>
            </w:r>
          </w:p>
        </w:tc>
      </w:tr>
      <w:tr w:rsidR="00B83DB9" w:rsidRPr="00EA603D" w14:paraId="27EB3E94" w14:textId="77777777" w:rsidTr="00F81392">
        <w:tc>
          <w:tcPr>
            <w:tcW w:w="700" w:type="pct"/>
            <w:tcBorders>
              <w:top w:val="nil"/>
              <w:left w:val="nil"/>
              <w:bottom w:val="nil"/>
              <w:right w:val="nil"/>
            </w:tcBorders>
            <w:vAlign w:val="center"/>
            <w:hideMark/>
          </w:tcPr>
          <w:p w14:paraId="52D4E46F" w14:textId="77777777" w:rsidR="00B83DB9" w:rsidRPr="00EA603D" w:rsidRDefault="00B83DB9" w:rsidP="00F81392">
            <w:pPr>
              <w:rPr>
                <w:sz w:val="21"/>
                <w:szCs w:val="21"/>
                <w:lang w:val="lv-LV"/>
              </w:rPr>
            </w:pPr>
            <w:r w:rsidRPr="00EA603D">
              <w:rPr>
                <w:sz w:val="21"/>
                <w:szCs w:val="21"/>
                <w:lang w:val="lv-LV"/>
              </w:rPr>
              <w:t> </w:t>
            </w:r>
          </w:p>
        </w:tc>
        <w:tc>
          <w:tcPr>
            <w:tcW w:w="4300" w:type="pct"/>
            <w:gridSpan w:val="2"/>
            <w:tcBorders>
              <w:top w:val="nil"/>
              <w:left w:val="nil"/>
              <w:bottom w:val="nil"/>
              <w:right w:val="nil"/>
            </w:tcBorders>
            <w:hideMark/>
          </w:tcPr>
          <w:p w14:paraId="4C4C587B" w14:textId="77777777" w:rsidR="00B83DB9" w:rsidRPr="00EA603D" w:rsidRDefault="00B83DB9" w:rsidP="00F81392">
            <w:pPr>
              <w:rPr>
                <w:sz w:val="21"/>
                <w:szCs w:val="21"/>
                <w:lang w:val="lv-LV"/>
              </w:rPr>
            </w:pPr>
            <w:r w:rsidRPr="00EA603D">
              <w:rPr>
                <w:sz w:val="21"/>
                <w:szCs w:val="21"/>
                <w:lang w:val="lv-LV"/>
              </w:rPr>
              <w:t>Juridiskā adrese:</w:t>
            </w:r>
          </w:p>
        </w:tc>
      </w:tr>
      <w:tr w:rsidR="00B83DB9" w:rsidRPr="00EA603D" w14:paraId="08E008F3" w14:textId="77777777" w:rsidTr="00F81392">
        <w:tc>
          <w:tcPr>
            <w:tcW w:w="700" w:type="pct"/>
            <w:tcBorders>
              <w:top w:val="nil"/>
              <w:left w:val="nil"/>
              <w:bottom w:val="nil"/>
              <w:right w:val="nil"/>
            </w:tcBorders>
            <w:vAlign w:val="center"/>
            <w:hideMark/>
          </w:tcPr>
          <w:p w14:paraId="06CC69B8" w14:textId="77777777" w:rsidR="00B83DB9" w:rsidRPr="00EA603D" w:rsidRDefault="00B83DB9" w:rsidP="00F81392">
            <w:pPr>
              <w:rPr>
                <w:sz w:val="21"/>
                <w:szCs w:val="21"/>
                <w:lang w:val="lv-LV"/>
              </w:rPr>
            </w:pPr>
            <w:r w:rsidRPr="00EA603D">
              <w:rPr>
                <w:sz w:val="21"/>
                <w:szCs w:val="21"/>
                <w:lang w:val="lv-LV"/>
              </w:rPr>
              <w:t> </w:t>
            </w:r>
          </w:p>
        </w:tc>
        <w:tc>
          <w:tcPr>
            <w:tcW w:w="4300" w:type="pct"/>
            <w:gridSpan w:val="2"/>
            <w:tcBorders>
              <w:top w:val="nil"/>
              <w:left w:val="nil"/>
              <w:bottom w:val="nil"/>
              <w:right w:val="nil"/>
            </w:tcBorders>
            <w:hideMark/>
          </w:tcPr>
          <w:p w14:paraId="6B0062ED" w14:textId="77777777" w:rsidR="00B83DB9" w:rsidRPr="00EA603D" w:rsidRDefault="00B83DB9" w:rsidP="00F81392">
            <w:pPr>
              <w:rPr>
                <w:sz w:val="21"/>
                <w:szCs w:val="21"/>
                <w:lang w:val="lv-LV"/>
              </w:rPr>
            </w:pPr>
            <w:r w:rsidRPr="00EA603D">
              <w:rPr>
                <w:sz w:val="21"/>
                <w:szCs w:val="21"/>
                <w:lang w:val="lv-LV"/>
              </w:rPr>
              <w:t>Tālruņa numurs:</w:t>
            </w:r>
          </w:p>
        </w:tc>
      </w:tr>
      <w:tr w:rsidR="00B83DB9" w:rsidRPr="00EA603D" w14:paraId="60488518" w14:textId="77777777" w:rsidTr="00F81392">
        <w:tc>
          <w:tcPr>
            <w:tcW w:w="700" w:type="pct"/>
            <w:tcBorders>
              <w:top w:val="nil"/>
              <w:left w:val="nil"/>
              <w:bottom w:val="nil"/>
              <w:right w:val="nil"/>
            </w:tcBorders>
            <w:vAlign w:val="center"/>
            <w:hideMark/>
          </w:tcPr>
          <w:p w14:paraId="15C406A8" w14:textId="77777777" w:rsidR="00B83DB9" w:rsidRPr="00EA603D" w:rsidRDefault="00B83DB9" w:rsidP="00F81392">
            <w:pPr>
              <w:rPr>
                <w:sz w:val="21"/>
                <w:szCs w:val="21"/>
                <w:lang w:val="lv-LV"/>
              </w:rPr>
            </w:pPr>
            <w:r w:rsidRPr="00EA603D">
              <w:rPr>
                <w:sz w:val="21"/>
                <w:szCs w:val="21"/>
                <w:lang w:val="lv-LV"/>
              </w:rPr>
              <w:t> </w:t>
            </w:r>
          </w:p>
        </w:tc>
        <w:tc>
          <w:tcPr>
            <w:tcW w:w="4300" w:type="pct"/>
            <w:gridSpan w:val="2"/>
            <w:tcBorders>
              <w:top w:val="nil"/>
              <w:left w:val="nil"/>
              <w:bottom w:val="nil"/>
              <w:right w:val="nil"/>
            </w:tcBorders>
            <w:hideMark/>
          </w:tcPr>
          <w:p w14:paraId="1C400D3C" w14:textId="77777777" w:rsidR="00B83DB9" w:rsidRPr="00EA603D" w:rsidRDefault="00B83DB9" w:rsidP="00F81392">
            <w:pPr>
              <w:rPr>
                <w:sz w:val="21"/>
                <w:szCs w:val="21"/>
                <w:lang w:val="lv-LV"/>
              </w:rPr>
            </w:pPr>
            <w:r w:rsidRPr="00EA603D">
              <w:rPr>
                <w:sz w:val="21"/>
                <w:szCs w:val="21"/>
                <w:lang w:val="lv-LV"/>
              </w:rPr>
              <w:t>E-pasta adrese:</w:t>
            </w:r>
          </w:p>
        </w:tc>
      </w:tr>
    </w:tbl>
    <w:p w14:paraId="7B6FACDD" w14:textId="77777777" w:rsidR="009D42AA" w:rsidRPr="00EA603D" w:rsidRDefault="009D42AA" w:rsidP="00B83DB9">
      <w:pPr>
        <w:pStyle w:val="tvhtml"/>
        <w:adjustRightInd w:val="0"/>
        <w:snapToGrid w:val="0"/>
        <w:spacing w:before="0" w:beforeAutospacing="0" w:after="120" w:afterAutospacing="0"/>
        <w:jc w:val="both"/>
        <w:rPr>
          <w:sz w:val="21"/>
          <w:szCs w:val="21"/>
          <w:lang w:val="lv-LV"/>
        </w:rPr>
      </w:pPr>
    </w:p>
    <w:p w14:paraId="06A10062" w14:textId="3BA10D16" w:rsidR="00B83DB9" w:rsidRPr="00EA603D" w:rsidRDefault="00B83DB9" w:rsidP="00B83DB9">
      <w:pPr>
        <w:pStyle w:val="tvhtml"/>
        <w:adjustRightInd w:val="0"/>
        <w:snapToGrid w:val="0"/>
        <w:spacing w:before="0" w:beforeAutospacing="0" w:after="120" w:afterAutospacing="0"/>
        <w:jc w:val="both"/>
        <w:rPr>
          <w:sz w:val="21"/>
          <w:szCs w:val="21"/>
          <w:lang w:val="lv-LV"/>
        </w:rPr>
      </w:pPr>
      <w:r w:rsidRPr="00EA603D">
        <w:rPr>
          <w:sz w:val="21"/>
          <w:szCs w:val="21"/>
          <w:lang w:val="lv-LV"/>
        </w:rPr>
        <w:t xml:space="preserve">Ar šo iesniedzam savu piedāvājumu </w:t>
      </w:r>
      <w:r w:rsidR="001F4688">
        <w:rPr>
          <w:sz w:val="21"/>
          <w:szCs w:val="21"/>
          <w:lang w:val="lv-LV"/>
        </w:rPr>
        <w:t>2022</w:t>
      </w:r>
      <w:r w:rsidRPr="00EA603D">
        <w:rPr>
          <w:sz w:val="21"/>
          <w:szCs w:val="21"/>
          <w:lang w:val="lv-LV"/>
        </w:rPr>
        <w:t>.</w:t>
      </w:r>
      <w:r w:rsidR="00EB2152" w:rsidRPr="00EA603D">
        <w:rPr>
          <w:sz w:val="21"/>
          <w:szCs w:val="21"/>
          <w:lang w:val="lv-LV"/>
        </w:rPr>
        <w:t>/</w:t>
      </w:r>
      <w:r w:rsidR="001F4688">
        <w:rPr>
          <w:sz w:val="21"/>
          <w:szCs w:val="21"/>
          <w:lang w:val="lv-LV"/>
        </w:rPr>
        <w:t>2023</w:t>
      </w:r>
      <w:r w:rsidRPr="00EA603D">
        <w:rPr>
          <w:sz w:val="21"/>
          <w:szCs w:val="21"/>
          <w:lang w:val="lv-LV"/>
        </w:rPr>
        <w:t>.</w:t>
      </w:r>
      <w:r w:rsidR="00EB2152" w:rsidRPr="00EA603D">
        <w:rPr>
          <w:sz w:val="21"/>
          <w:szCs w:val="21"/>
          <w:lang w:val="lv-LV"/>
        </w:rPr>
        <w:t xml:space="preserve"> </w:t>
      </w:r>
      <w:r w:rsidRPr="00EA603D">
        <w:rPr>
          <w:sz w:val="21"/>
          <w:szCs w:val="21"/>
          <w:lang w:val="lv-LV"/>
        </w:rPr>
        <w:t xml:space="preserve">gada krātuves cikla </w:t>
      </w:r>
      <w:r w:rsidR="001C7D84" w:rsidRPr="001C7D84">
        <w:rPr>
          <w:sz w:val="21"/>
          <w:szCs w:val="21"/>
          <w:lang w:val="lv-LV"/>
        </w:rPr>
        <w:t xml:space="preserve">Atslēdzamās </w:t>
      </w:r>
      <w:r w:rsidR="00EB2152" w:rsidRPr="00EA603D">
        <w:rPr>
          <w:sz w:val="21"/>
          <w:szCs w:val="21"/>
          <w:lang w:val="lv-LV"/>
        </w:rPr>
        <w:t xml:space="preserve">jaudas </w:t>
      </w:r>
      <w:r w:rsidRPr="00EA603D">
        <w:rPr>
          <w:sz w:val="21"/>
          <w:szCs w:val="21"/>
          <w:lang w:val="lv-LV"/>
        </w:rPr>
        <w:t>produkta izsolei (turpmāk – Izsole) ar šādiem nosacījumiem:</w:t>
      </w:r>
    </w:p>
    <w:tbl>
      <w:tblPr>
        <w:tblStyle w:val="TableGrid"/>
        <w:tblW w:w="0" w:type="auto"/>
        <w:jc w:val="center"/>
        <w:tblLook w:val="04A0" w:firstRow="1" w:lastRow="0" w:firstColumn="1" w:lastColumn="0" w:noHBand="0" w:noVBand="1"/>
      </w:tblPr>
      <w:tblGrid>
        <w:gridCol w:w="1896"/>
        <w:gridCol w:w="1762"/>
        <w:gridCol w:w="1724"/>
        <w:gridCol w:w="1721"/>
        <w:gridCol w:w="1907"/>
      </w:tblGrid>
      <w:tr w:rsidR="00B83DB9" w:rsidRPr="00EA603D" w14:paraId="7057106B" w14:textId="77777777" w:rsidTr="00F81392">
        <w:trPr>
          <w:jc w:val="center"/>
        </w:trPr>
        <w:tc>
          <w:tcPr>
            <w:tcW w:w="1896" w:type="dxa"/>
            <w:vMerge w:val="restart"/>
          </w:tcPr>
          <w:p w14:paraId="699851B1"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r w:rsidRPr="00EA603D">
              <w:rPr>
                <w:iCs/>
                <w:sz w:val="21"/>
                <w:szCs w:val="21"/>
                <w:lang w:val="lv-LV"/>
              </w:rPr>
              <w:t>Cenas solījuma Nr.</w:t>
            </w:r>
          </w:p>
        </w:tc>
        <w:tc>
          <w:tcPr>
            <w:tcW w:w="1762" w:type="dxa"/>
            <w:vMerge w:val="restart"/>
          </w:tcPr>
          <w:p w14:paraId="1382E5F2" w14:textId="376C9F9E" w:rsidR="00B83DB9" w:rsidRPr="00EA603D" w:rsidRDefault="001C7D84" w:rsidP="00EB2152">
            <w:pPr>
              <w:pStyle w:val="tvhtml"/>
              <w:adjustRightInd w:val="0"/>
              <w:snapToGrid w:val="0"/>
              <w:spacing w:before="0" w:beforeAutospacing="0" w:after="120" w:afterAutospacing="0"/>
              <w:rPr>
                <w:iCs/>
                <w:sz w:val="21"/>
                <w:szCs w:val="21"/>
                <w:lang w:val="lv-LV"/>
              </w:rPr>
            </w:pPr>
            <w:r w:rsidRPr="001C7D84">
              <w:rPr>
                <w:iCs/>
                <w:sz w:val="21"/>
                <w:szCs w:val="21"/>
                <w:lang w:val="lv-LV"/>
              </w:rPr>
              <w:t xml:space="preserve">Atslēdzamās </w:t>
            </w:r>
            <w:r w:rsidR="00B83DB9" w:rsidRPr="00EA603D">
              <w:rPr>
                <w:iCs/>
                <w:sz w:val="21"/>
                <w:szCs w:val="21"/>
                <w:lang w:val="lv-LV"/>
              </w:rPr>
              <w:t>jaudas produkta apjoms** (MWh)</w:t>
            </w:r>
          </w:p>
        </w:tc>
        <w:tc>
          <w:tcPr>
            <w:tcW w:w="3445" w:type="dxa"/>
            <w:gridSpan w:val="2"/>
          </w:tcPr>
          <w:p w14:paraId="1FBC24F2" w14:textId="0AD2863A" w:rsidR="00B83DB9" w:rsidRPr="00EA603D" w:rsidRDefault="001C7D84" w:rsidP="00F81392">
            <w:pPr>
              <w:pStyle w:val="tvhtml"/>
              <w:adjustRightInd w:val="0"/>
              <w:snapToGrid w:val="0"/>
              <w:spacing w:before="0" w:beforeAutospacing="0" w:after="120" w:afterAutospacing="0"/>
              <w:jc w:val="both"/>
              <w:rPr>
                <w:iCs/>
                <w:sz w:val="21"/>
                <w:szCs w:val="21"/>
                <w:lang w:val="lv-LV"/>
              </w:rPr>
            </w:pPr>
            <w:r w:rsidRPr="001C7D84">
              <w:rPr>
                <w:iCs/>
                <w:sz w:val="21"/>
                <w:szCs w:val="21"/>
                <w:lang w:val="lv-LV"/>
              </w:rPr>
              <w:t xml:space="preserve">Atslēdzamās </w:t>
            </w:r>
            <w:r w:rsidR="00B83DB9" w:rsidRPr="00EA603D">
              <w:rPr>
                <w:iCs/>
                <w:sz w:val="21"/>
                <w:szCs w:val="21"/>
                <w:lang w:val="lv-LV"/>
              </w:rPr>
              <w:t>jaudas produkta apjoms*</w:t>
            </w:r>
          </w:p>
        </w:tc>
        <w:tc>
          <w:tcPr>
            <w:tcW w:w="1907" w:type="dxa"/>
            <w:vMerge w:val="restart"/>
          </w:tcPr>
          <w:p w14:paraId="0FE21BF4" w14:textId="35470EF5" w:rsidR="00B83DB9" w:rsidRPr="00EA603D" w:rsidRDefault="00B83DB9" w:rsidP="00F81392">
            <w:pPr>
              <w:pStyle w:val="tvhtml"/>
              <w:adjustRightInd w:val="0"/>
              <w:snapToGrid w:val="0"/>
              <w:spacing w:before="0" w:beforeAutospacing="0" w:after="120" w:afterAutospacing="0"/>
              <w:jc w:val="both"/>
              <w:rPr>
                <w:iCs/>
                <w:sz w:val="21"/>
                <w:szCs w:val="21"/>
                <w:lang w:val="lv-LV"/>
              </w:rPr>
            </w:pPr>
            <w:r w:rsidRPr="00EA603D">
              <w:rPr>
                <w:iCs/>
                <w:sz w:val="21"/>
                <w:szCs w:val="21"/>
                <w:lang w:val="lv-LV"/>
              </w:rPr>
              <w:t xml:space="preserve">Cena </w:t>
            </w:r>
            <w:r w:rsidR="00CD7093" w:rsidRPr="00EA603D">
              <w:rPr>
                <w:iCs/>
                <w:sz w:val="21"/>
                <w:szCs w:val="21"/>
                <w:lang w:val="lv-LV"/>
              </w:rPr>
              <w:t xml:space="preserve">bez PVN </w:t>
            </w:r>
            <w:r w:rsidRPr="00EA603D">
              <w:rPr>
                <w:iCs/>
                <w:sz w:val="21"/>
                <w:szCs w:val="21"/>
                <w:lang w:val="lv-LV"/>
              </w:rPr>
              <w:t>(EUR/MWh)***</w:t>
            </w:r>
          </w:p>
        </w:tc>
      </w:tr>
      <w:tr w:rsidR="00B83DB9" w:rsidRPr="00EA603D" w14:paraId="78C8EF5A" w14:textId="77777777" w:rsidTr="00F81392">
        <w:trPr>
          <w:jc w:val="center"/>
        </w:trPr>
        <w:tc>
          <w:tcPr>
            <w:tcW w:w="1896" w:type="dxa"/>
            <w:vMerge/>
          </w:tcPr>
          <w:p w14:paraId="571DBC3A"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62" w:type="dxa"/>
            <w:vMerge/>
          </w:tcPr>
          <w:p w14:paraId="2ACAD184"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24" w:type="dxa"/>
          </w:tcPr>
          <w:p w14:paraId="41D483A1"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r w:rsidRPr="00EA603D">
              <w:rPr>
                <w:iCs/>
                <w:sz w:val="21"/>
                <w:szCs w:val="21"/>
                <w:lang w:val="lv-LV"/>
              </w:rPr>
              <w:t>Fiksēts</w:t>
            </w:r>
          </w:p>
        </w:tc>
        <w:tc>
          <w:tcPr>
            <w:tcW w:w="1721" w:type="dxa"/>
          </w:tcPr>
          <w:p w14:paraId="10CA86B1"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r w:rsidRPr="00EA603D">
              <w:rPr>
                <w:iCs/>
                <w:sz w:val="21"/>
                <w:szCs w:val="21"/>
                <w:lang w:val="lv-LV"/>
              </w:rPr>
              <w:t>Mainīgs</w:t>
            </w:r>
          </w:p>
        </w:tc>
        <w:tc>
          <w:tcPr>
            <w:tcW w:w="1907" w:type="dxa"/>
            <w:vMerge/>
          </w:tcPr>
          <w:p w14:paraId="449DE78D"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r>
      <w:tr w:rsidR="00B83DB9" w:rsidRPr="00EA603D" w14:paraId="23FD41B3" w14:textId="77777777" w:rsidTr="00F81392">
        <w:trPr>
          <w:jc w:val="center"/>
        </w:trPr>
        <w:tc>
          <w:tcPr>
            <w:tcW w:w="1896" w:type="dxa"/>
          </w:tcPr>
          <w:p w14:paraId="4F933573"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62" w:type="dxa"/>
          </w:tcPr>
          <w:p w14:paraId="5D764A07"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24" w:type="dxa"/>
          </w:tcPr>
          <w:p w14:paraId="1E02D2CD"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21" w:type="dxa"/>
          </w:tcPr>
          <w:p w14:paraId="6D5DB74B"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907" w:type="dxa"/>
          </w:tcPr>
          <w:p w14:paraId="3F4DBA9F"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r>
      <w:tr w:rsidR="00B83DB9" w:rsidRPr="00EA603D" w14:paraId="2C82629C" w14:textId="77777777" w:rsidTr="00F81392">
        <w:trPr>
          <w:jc w:val="center"/>
        </w:trPr>
        <w:tc>
          <w:tcPr>
            <w:tcW w:w="1896" w:type="dxa"/>
          </w:tcPr>
          <w:p w14:paraId="45CE44FF"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62" w:type="dxa"/>
          </w:tcPr>
          <w:p w14:paraId="1539C3BB"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24" w:type="dxa"/>
          </w:tcPr>
          <w:p w14:paraId="64168F49"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721" w:type="dxa"/>
          </w:tcPr>
          <w:p w14:paraId="5083BFC1"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c>
          <w:tcPr>
            <w:tcW w:w="1907" w:type="dxa"/>
          </w:tcPr>
          <w:p w14:paraId="69603FF4" w14:textId="77777777" w:rsidR="00B83DB9" w:rsidRPr="00EA603D" w:rsidRDefault="00B83DB9" w:rsidP="00F81392">
            <w:pPr>
              <w:pStyle w:val="tvhtml"/>
              <w:adjustRightInd w:val="0"/>
              <w:snapToGrid w:val="0"/>
              <w:spacing w:before="0" w:beforeAutospacing="0" w:after="120" w:afterAutospacing="0"/>
              <w:jc w:val="both"/>
              <w:rPr>
                <w:iCs/>
                <w:sz w:val="21"/>
                <w:szCs w:val="21"/>
                <w:lang w:val="lv-LV"/>
              </w:rPr>
            </w:pPr>
          </w:p>
        </w:tc>
      </w:tr>
    </w:tbl>
    <w:p w14:paraId="7A75F0DD" w14:textId="77777777" w:rsidR="00B83DB9" w:rsidRPr="00EA603D" w:rsidRDefault="00B83DB9" w:rsidP="00B83DB9">
      <w:pPr>
        <w:autoSpaceDE w:val="0"/>
        <w:autoSpaceDN w:val="0"/>
        <w:adjustRightInd w:val="0"/>
        <w:rPr>
          <w:rFonts w:eastAsiaTheme="minorHAnsi"/>
          <w:color w:val="000000"/>
          <w:sz w:val="21"/>
          <w:szCs w:val="21"/>
          <w:lang w:val="lv-LV" w:eastAsia="en-US"/>
        </w:rPr>
      </w:pPr>
      <w:r w:rsidRPr="00EA603D">
        <w:rPr>
          <w:rFonts w:eastAsiaTheme="minorHAnsi"/>
          <w:i/>
          <w:iCs/>
          <w:color w:val="000000"/>
          <w:sz w:val="21"/>
          <w:szCs w:val="21"/>
          <w:lang w:val="lv-LV" w:eastAsia="en-US"/>
        </w:rPr>
        <w:t xml:space="preserve">Piezīme: </w:t>
      </w:r>
    </w:p>
    <w:p w14:paraId="71984C36" w14:textId="77777777" w:rsidR="00FE09D4" w:rsidRPr="00EA603D" w:rsidRDefault="00FE09D4" w:rsidP="00FE09D4">
      <w:pPr>
        <w:autoSpaceDE w:val="0"/>
        <w:autoSpaceDN w:val="0"/>
        <w:adjustRightInd w:val="0"/>
        <w:jc w:val="both"/>
        <w:rPr>
          <w:rFonts w:eastAsiaTheme="minorHAnsi"/>
          <w:color w:val="000000"/>
          <w:sz w:val="21"/>
          <w:szCs w:val="21"/>
          <w:lang w:val="lv-LV" w:eastAsia="en-US"/>
        </w:rPr>
      </w:pPr>
      <w:r w:rsidRPr="00EA603D">
        <w:rPr>
          <w:rFonts w:eastAsiaTheme="minorHAnsi"/>
          <w:i/>
          <w:iCs/>
          <w:color w:val="000000"/>
          <w:sz w:val="21"/>
          <w:szCs w:val="21"/>
          <w:lang w:val="lv-LV" w:eastAsia="en-US"/>
        </w:rPr>
        <w:t xml:space="preserve">Ja Izsoles dalībnieks ir izvēlējies iesniegt vairākus solījumus, Izsoles dalībnieks aizpilda vairākas solījuma ailes. </w:t>
      </w:r>
    </w:p>
    <w:p w14:paraId="19A6377D" w14:textId="0D540208" w:rsidR="00B83DB9" w:rsidRPr="00EA603D" w:rsidRDefault="00B83DB9" w:rsidP="009D42AA">
      <w:pPr>
        <w:autoSpaceDE w:val="0"/>
        <w:autoSpaceDN w:val="0"/>
        <w:adjustRightInd w:val="0"/>
        <w:jc w:val="both"/>
        <w:rPr>
          <w:rFonts w:eastAsiaTheme="minorHAnsi"/>
          <w:color w:val="000000"/>
          <w:sz w:val="21"/>
          <w:szCs w:val="21"/>
          <w:lang w:val="lv-LV" w:eastAsia="en-US"/>
        </w:rPr>
      </w:pPr>
      <w:r w:rsidRPr="00EA603D">
        <w:rPr>
          <w:rFonts w:eastAsiaTheme="minorHAnsi"/>
          <w:i/>
          <w:iCs/>
          <w:color w:val="000000"/>
          <w:sz w:val="21"/>
          <w:szCs w:val="21"/>
          <w:lang w:val="lv-LV" w:eastAsia="en-US"/>
        </w:rPr>
        <w:t xml:space="preserve">* Katram solījumam norāda, vai tajā norādītais </w:t>
      </w:r>
      <w:r w:rsidR="001C7D84" w:rsidRPr="001C7D84">
        <w:rPr>
          <w:rFonts w:eastAsiaTheme="minorHAnsi"/>
          <w:i/>
          <w:iCs/>
          <w:color w:val="000000"/>
          <w:sz w:val="21"/>
          <w:szCs w:val="21"/>
          <w:lang w:val="lv-LV" w:eastAsia="en-US"/>
        </w:rPr>
        <w:t xml:space="preserve">Atslēdzamās </w:t>
      </w:r>
      <w:r w:rsidRPr="00EA603D">
        <w:rPr>
          <w:rFonts w:eastAsiaTheme="minorHAnsi"/>
          <w:i/>
          <w:iCs/>
          <w:color w:val="000000"/>
          <w:sz w:val="21"/>
          <w:szCs w:val="21"/>
          <w:lang w:val="lv-LV" w:eastAsia="en-US"/>
        </w:rPr>
        <w:t xml:space="preserve">jaudas produkta apjoms ir fiksēts vai mainīgs, atzīmējot ar </w:t>
      </w:r>
      <w:r w:rsidR="009D42AA" w:rsidRPr="00EA603D">
        <w:rPr>
          <w:rFonts w:ascii="Wingdings" w:eastAsiaTheme="minorHAnsi" w:hAnsi="Wingdings" w:cs="Wingdings"/>
          <w:color w:val="000000"/>
          <w:sz w:val="21"/>
          <w:szCs w:val="21"/>
          <w:lang w:val="lv-LV" w:eastAsia="en-US"/>
        </w:rPr>
        <w:sym w:font="Wingdings" w:char="F0FC"/>
      </w:r>
      <w:r w:rsidRPr="00EA603D">
        <w:rPr>
          <w:rFonts w:eastAsiaTheme="minorHAnsi"/>
          <w:i/>
          <w:iCs/>
          <w:color w:val="000000"/>
          <w:sz w:val="21"/>
          <w:szCs w:val="21"/>
          <w:lang w:val="lv-LV" w:eastAsia="en-US"/>
        </w:rPr>
        <w:t xml:space="preserve">attiecīgajā ailē. </w:t>
      </w:r>
    </w:p>
    <w:p w14:paraId="032C7997" w14:textId="65DB7345" w:rsidR="00B83DB9" w:rsidRPr="001F4688" w:rsidRDefault="00B83DB9" w:rsidP="009D42AA">
      <w:pPr>
        <w:autoSpaceDE w:val="0"/>
        <w:autoSpaceDN w:val="0"/>
        <w:adjustRightInd w:val="0"/>
        <w:jc w:val="both"/>
        <w:rPr>
          <w:rFonts w:eastAsiaTheme="minorHAnsi"/>
          <w:i/>
          <w:iCs/>
          <w:color w:val="000000"/>
          <w:sz w:val="21"/>
          <w:szCs w:val="21"/>
          <w:lang w:val="lv-LV" w:eastAsia="en-US"/>
        </w:rPr>
      </w:pPr>
      <w:r w:rsidRPr="00EA603D">
        <w:rPr>
          <w:rFonts w:eastAsiaTheme="minorHAnsi"/>
          <w:i/>
          <w:iCs/>
          <w:color w:val="000000"/>
          <w:sz w:val="21"/>
          <w:szCs w:val="21"/>
          <w:lang w:val="lv-LV" w:eastAsia="en-US"/>
        </w:rPr>
        <w:t xml:space="preserve">**- </w:t>
      </w:r>
      <w:r w:rsidR="001C7D84" w:rsidRPr="001C7D84">
        <w:rPr>
          <w:rFonts w:eastAsiaTheme="minorHAnsi"/>
          <w:i/>
          <w:iCs/>
          <w:color w:val="000000"/>
          <w:sz w:val="21"/>
          <w:szCs w:val="21"/>
          <w:lang w:val="lv-LV" w:eastAsia="en-US"/>
        </w:rPr>
        <w:t xml:space="preserve">Atslēdzamās </w:t>
      </w:r>
      <w:r w:rsidRPr="00EA603D">
        <w:rPr>
          <w:rFonts w:eastAsiaTheme="minorHAnsi"/>
          <w:i/>
          <w:iCs/>
          <w:color w:val="000000"/>
          <w:sz w:val="21"/>
          <w:szCs w:val="21"/>
          <w:lang w:val="lv-LV" w:eastAsia="en-US"/>
        </w:rPr>
        <w:t xml:space="preserve">jaudas produkta apjomu norāda noapaļotu līdz veselam skaitlim. </w:t>
      </w:r>
    </w:p>
    <w:p w14:paraId="5C413DCA" w14:textId="77777777" w:rsidR="00B83DB9" w:rsidRPr="00EA603D" w:rsidRDefault="00B83DB9" w:rsidP="009D42AA">
      <w:pPr>
        <w:autoSpaceDE w:val="0"/>
        <w:autoSpaceDN w:val="0"/>
        <w:adjustRightInd w:val="0"/>
        <w:jc w:val="both"/>
        <w:rPr>
          <w:rFonts w:eastAsiaTheme="minorHAnsi"/>
          <w:color w:val="000000"/>
          <w:sz w:val="21"/>
          <w:szCs w:val="21"/>
          <w:lang w:val="lv-LV" w:eastAsia="en-US"/>
        </w:rPr>
      </w:pPr>
      <w:r w:rsidRPr="00EA603D">
        <w:rPr>
          <w:rFonts w:eastAsiaTheme="minorHAnsi"/>
          <w:i/>
          <w:iCs/>
          <w:color w:val="000000"/>
          <w:sz w:val="21"/>
          <w:szCs w:val="21"/>
          <w:lang w:val="lv-LV" w:eastAsia="en-US"/>
        </w:rPr>
        <w:t xml:space="preserve">***- solījuma cenu norāda ar precizitāti līdz divām zīmēm aiz komata. </w:t>
      </w:r>
    </w:p>
    <w:p w14:paraId="4DEC6778" w14:textId="77777777" w:rsidR="00B83DB9" w:rsidRPr="00EA603D" w:rsidRDefault="00B83DB9" w:rsidP="009D42AA">
      <w:pPr>
        <w:autoSpaceDE w:val="0"/>
        <w:autoSpaceDN w:val="0"/>
        <w:adjustRightInd w:val="0"/>
        <w:jc w:val="both"/>
        <w:rPr>
          <w:rFonts w:eastAsiaTheme="minorHAnsi"/>
          <w:color w:val="000000"/>
          <w:sz w:val="21"/>
          <w:szCs w:val="21"/>
          <w:lang w:val="lv-LV" w:eastAsia="en-US"/>
        </w:rPr>
      </w:pPr>
      <w:r w:rsidRPr="00EA603D">
        <w:rPr>
          <w:rFonts w:eastAsiaTheme="minorHAnsi"/>
          <w:color w:val="000000"/>
          <w:sz w:val="21"/>
          <w:szCs w:val="21"/>
          <w:lang w:val="lv-LV" w:eastAsia="en-US"/>
        </w:rPr>
        <w:t xml:space="preserve">Parakstot šo piedāvājumu, apliecinām, ka piedāvājumu esam sagatavojuši neatkarīgi. </w:t>
      </w:r>
    </w:p>
    <w:p w14:paraId="44F1CDB4" w14:textId="77777777" w:rsidR="00B83DB9" w:rsidRPr="00EA603D" w:rsidRDefault="00B83DB9" w:rsidP="00B83DB9">
      <w:pPr>
        <w:pStyle w:val="tvhtml"/>
        <w:spacing w:line="293" w:lineRule="atLeast"/>
        <w:jc w:val="both"/>
        <w:rPr>
          <w:color w:val="000000"/>
          <w:sz w:val="21"/>
          <w:szCs w:val="21"/>
          <w:lang w:val="lv-LV" w:eastAsia="en-US"/>
        </w:rPr>
      </w:pPr>
      <w:r w:rsidRPr="00EA603D">
        <w:rPr>
          <w:color w:val="000000"/>
          <w:sz w:val="21"/>
          <w:szCs w:val="21"/>
          <w:lang w:val="lv-LV" w:eastAsia="en-US"/>
        </w:rPr>
        <w:t xml:space="preserve">Parakstot šo piedāvājumu, apliecinām, ka mēs atbilstam Izsoles nolikumā noteiktajām Izsoles dalībniekiem izvirzītajām prasībām un piekrītam Izsoles nolikumā noteiktajai Izsoles norises, piedāvājumu vērtēšanas un krātuves jaudas piešķiršanas kārtībai. </w:t>
      </w:r>
    </w:p>
    <w:p w14:paraId="1BE4B91E" w14:textId="5EEF9A9A" w:rsidR="009D42AA" w:rsidRPr="00EA603D" w:rsidRDefault="009D42AA" w:rsidP="006311AA">
      <w:pPr>
        <w:autoSpaceDE w:val="0"/>
        <w:autoSpaceDN w:val="0"/>
        <w:adjustRightInd w:val="0"/>
        <w:spacing w:after="120"/>
        <w:jc w:val="both"/>
        <w:rPr>
          <w:rFonts w:eastAsiaTheme="minorHAnsi"/>
          <w:color w:val="000000"/>
          <w:sz w:val="21"/>
          <w:szCs w:val="21"/>
          <w:lang w:val="lv-LV" w:eastAsia="en-US"/>
        </w:rPr>
      </w:pPr>
      <w:r w:rsidRPr="00EA603D">
        <w:rPr>
          <w:rFonts w:eastAsiaTheme="minorHAnsi"/>
          <w:color w:val="000000"/>
          <w:sz w:val="21"/>
          <w:szCs w:val="21"/>
          <w:lang w:val="lv-LV" w:eastAsia="en-US"/>
        </w:rPr>
        <w:t>Parakstot šo piedāvājumu, apliecinām, ka attiecībā uz mums, kā Izsoles dalībnieku, mūsu valdes vai padomes locekļiem, pārstāvēt</w:t>
      </w:r>
      <w:r w:rsidR="00EF7702" w:rsidRPr="00EA603D">
        <w:rPr>
          <w:rFonts w:eastAsiaTheme="minorHAnsi"/>
          <w:color w:val="000000"/>
          <w:sz w:val="21"/>
          <w:szCs w:val="21"/>
          <w:lang w:val="lv-LV" w:eastAsia="en-US"/>
        </w:rPr>
        <w:t xml:space="preserve"> </w:t>
      </w:r>
      <w:r w:rsidRPr="00EA603D">
        <w:rPr>
          <w:rFonts w:eastAsiaTheme="minorHAnsi"/>
          <w:color w:val="000000"/>
          <w:sz w:val="21"/>
          <w:szCs w:val="21"/>
          <w:lang w:val="lv-LV" w:eastAsia="en-US"/>
        </w:rPr>
        <w:t xml:space="preserve">tiesīgām personām vai prokūristiem vai personām, kuras ir pilnvarotas pārstāvēt mūs darbībās, nav noteiktas starptautiskās vai nacionālās sankcijas vai būtiskas finanšu un kapitāla tirgus intereses ietekmējošas Eiropas Savienības vai Ziemeļatlantijas līguma organizācijas dalībvalsts noteiktās sankcijas, kuras varētu ietekmēt Izsoles rezultātā un dabasgāzes uzglabāšanas pakalpojuma līgumā noteikto saistību izpildi. </w:t>
      </w:r>
    </w:p>
    <w:p w14:paraId="5716352B" w14:textId="77777777" w:rsidR="00EA603D" w:rsidRPr="00EA603D" w:rsidRDefault="009D42AA" w:rsidP="009D42AA">
      <w:pPr>
        <w:autoSpaceDE w:val="0"/>
        <w:autoSpaceDN w:val="0"/>
        <w:adjustRightInd w:val="0"/>
        <w:rPr>
          <w:rFonts w:eastAsiaTheme="minorHAnsi"/>
          <w:color w:val="000000"/>
          <w:sz w:val="21"/>
          <w:szCs w:val="21"/>
          <w:lang w:val="lv-LV" w:eastAsia="en-US"/>
        </w:rPr>
      </w:pPr>
      <w:r w:rsidRPr="00EA603D">
        <w:rPr>
          <w:rFonts w:eastAsiaTheme="minorHAnsi"/>
          <w:color w:val="000000"/>
          <w:sz w:val="21"/>
          <w:szCs w:val="21"/>
          <w:lang w:val="lv-LV" w:eastAsia="en-US"/>
        </w:rPr>
        <w:t xml:space="preserve">Personas, kas paraksta piedāvājumu, pārstāvības pamats: __________________________ </w:t>
      </w:r>
    </w:p>
    <w:p w14:paraId="309E8798" w14:textId="0A0286EB" w:rsidR="009D42AA" w:rsidRPr="00EA603D" w:rsidRDefault="00EA3F46" w:rsidP="009D42AA">
      <w:pPr>
        <w:autoSpaceDE w:val="0"/>
        <w:autoSpaceDN w:val="0"/>
        <w:adjustRightInd w:val="0"/>
        <w:rPr>
          <w:rFonts w:eastAsiaTheme="minorHAnsi"/>
          <w:color w:val="000000"/>
          <w:sz w:val="21"/>
          <w:szCs w:val="21"/>
          <w:lang w:val="lv-LV" w:eastAsia="en-US"/>
        </w:rPr>
      </w:pPr>
      <w:r w:rsidRPr="00EA603D">
        <w:rPr>
          <w:rFonts w:eastAsiaTheme="minorHAnsi"/>
          <w:color w:val="000000"/>
          <w:sz w:val="21"/>
          <w:szCs w:val="21"/>
          <w:lang w:val="lv-LV" w:eastAsia="en-US"/>
        </w:rPr>
        <w:t>(</w:t>
      </w:r>
      <w:r w:rsidRPr="00EA603D">
        <w:rPr>
          <w:rFonts w:eastAsiaTheme="minorHAnsi"/>
          <w:i/>
          <w:color w:val="000000"/>
          <w:sz w:val="21"/>
          <w:szCs w:val="21"/>
          <w:lang w:val="lv-LV" w:eastAsia="en-US"/>
        </w:rPr>
        <w:t>pielikumā pilnvara</w:t>
      </w:r>
      <w:r w:rsidR="00F12809" w:rsidRPr="00EA603D">
        <w:rPr>
          <w:rFonts w:eastAsiaTheme="minorHAnsi"/>
          <w:i/>
          <w:color w:val="000000"/>
          <w:sz w:val="21"/>
          <w:szCs w:val="21"/>
          <w:lang w:val="lv-LV" w:eastAsia="en-US"/>
        </w:rPr>
        <w:t>, ja piedāvājumu paraksta Izsoles dalībnieka pilnvaro</w:t>
      </w:r>
      <w:r w:rsidR="00997091" w:rsidRPr="00EA603D">
        <w:rPr>
          <w:rFonts w:eastAsiaTheme="minorHAnsi"/>
          <w:i/>
          <w:color w:val="000000"/>
          <w:sz w:val="21"/>
          <w:szCs w:val="21"/>
          <w:lang w:val="lv-LV" w:eastAsia="en-US"/>
        </w:rPr>
        <w:t>tā persona</w:t>
      </w:r>
      <w:r w:rsidR="00AE4BA0" w:rsidRPr="00EA603D">
        <w:rPr>
          <w:rFonts w:eastAsiaTheme="minorHAnsi"/>
          <w:i/>
          <w:color w:val="000000"/>
          <w:sz w:val="21"/>
          <w:szCs w:val="21"/>
          <w:lang w:val="lv-LV" w:eastAsia="en-US"/>
        </w:rPr>
        <w:t>, vai cits pārstāvību apliecinošs dokuments, ja no publiski pieejamās informācijas nav iespējams pārliecināties par Izsoles dalībnieka pārstāvja pārstāvības tiesībām</w:t>
      </w:r>
      <w:r w:rsidR="000D31FF" w:rsidRPr="00EA603D">
        <w:rPr>
          <w:rFonts w:eastAsiaTheme="minorHAnsi"/>
          <w:color w:val="000000"/>
          <w:sz w:val="21"/>
          <w:szCs w:val="21"/>
          <w:lang w:val="lv-LV" w:eastAsia="en-US"/>
        </w:rPr>
        <w:t>)</w:t>
      </w:r>
    </w:p>
    <w:p w14:paraId="64678C85" w14:textId="77777777" w:rsidR="009D42AA" w:rsidRPr="00EA603D" w:rsidRDefault="009D42AA" w:rsidP="009D42AA">
      <w:pPr>
        <w:autoSpaceDE w:val="0"/>
        <w:autoSpaceDN w:val="0"/>
        <w:adjustRightInd w:val="0"/>
        <w:rPr>
          <w:rFonts w:eastAsiaTheme="minorHAnsi"/>
          <w:color w:val="000000"/>
          <w:sz w:val="21"/>
          <w:szCs w:val="21"/>
          <w:lang w:val="lv-LV" w:eastAsia="en-US"/>
        </w:rPr>
      </w:pPr>
    </w:p>
    <w:p w14:paraId="4CC4A7F0" w14:textId="24DC977D" w:rsidR="009D42AA" w:rsidRPr="00EA603D" w:rsidRDefault="009D42AA" w:rsidP="009D42AA">
      <w:pPr>
        <w:autoSpaceDE w:val="0"/>
        <w:autoSpaceDN w:val="0"/>
        <w:adjustRightInd w:val="0"/>
        <w:rPr>
          <w:rFonts w:eastAsiaTheme="minorHAnsi"/>
          <w:color w:val="000000"/>
          <w:sz w:val="21"/>
          <w:szCs w:val="21"/>
          <w:lang w:val="lv-LV" w:eastAsia="en-US"/>
        </w:rPr>
      </w:pPr>
      <w:r w:rsidRPr="00EA603D">
        <w:rPr>
          <w:rFonts w:eastAsiaTheme="minorHAnsi"/>
          <w:color w:val="000000"/>
          <w:sz w:val="21"/>
          <w:szCs w:val="21"/>
          <w:lang w:val="lv-LV" w:eastAsia="en-US"/>
        </w:rPr>
        <w:t xml:space="preserve">                                            Parakstītāja amats (paraksts*)   Vārds, uzvārds </w:t>
      </w:r>
    </w:p>
    <w:p w14:paraId="0520D206" w14:textId="77777777" w:rsidR="009D42AA" w:rsidRPr="00EA603D" w:rsidRDefault="009D42AA" w:rsidP="009D42AA">
      <w:pPr>
        <w:autoSpaceDE w:val="0"/>
        <w:autoSpaceDN w:val="0"/>
        <w:adjustRightInd w:val="0"/>
        <w:rPr>
          <w:rFonts w:eastAsiaTheme="minorHAnsi"/>
          <w:color w:val="000000"/>
          <w:sz w:val="21"/>
          <w:szCs w:val="21"/>
          <w:lang w:val="lv-LV" w:eastAsia="en-US"/>
        </w:rPr>
      </w:pPr>
    </w:p>
    <w:p w14:paraId="761E1984" w14:textId="66FF3DA7" w:rsidR="008D1E9C" w:rsidRPr="00EA603D" w:rsidRDefault="00E96C8B" w:rsidP="00E96C8B">
      <w:pPr>
        <w:pStyle w:val="ListParagraph"/>
        <w:autoSpaceDE w:val="0"/>
        <w:autoSpaceDN w:val="0"/>
        <w:adjustRightInd w:val="0"/>
        <w:rPr>
          <w:rFonts w:eastAsiaTheme="minorHAnsi"/>
          <w:color w:val="000000"/>
          <w:sz w:val="21"/>
          <w:szCs w:val="21"/>
          <w:lang w:val="lv-LV" w:eastAsia="en-US"/>
        </w:rPr>
      </w:pPr>
      <w:r w:rsidRPr="00EA603D">
        <w:rPr>
          <w:rFonts w:eastAsiaTheme="minorHAnsi"/>
          <w:color w:val="000000"/>
          <w:sz w:val="21"/>
          <w:szCs w:val="21"/>
          <w:lang w:val="lv-LV" w:eastAsia="en-US"/>
        </w:rPr>
        <w:t xml:space="preserve">* </w:t>
      </w:r>
      <w:r w:rsidR="009D42AA" w:rsidRPr="00EA603D">
        <w:rPr>
          <w:rFonts w:eastAsiaTheme="minorHAnsi"/>
          <w:color w:val="000000"/>
          <w:sz w:val="21"/>
          <w:szCs w:val="21"/>
          <w:lang w:val="lv-LV" w:eastAsia="en-US"/>
        </w:rPr>
        <w:t>Dokuments parakstīts ar drošu elektronisko paraks</w:t>
      </w:r>
      <w:r w:rsidR="00553F3D" w:rsidRPr="00EA603D">
        <w:rPr>
          <w:rFonts w:eastAsiaTheme="minorHAnsi"/>
          <w:color w:val="000000"/>
          <w:sz w:val="21"/>
          <w:szCs w:val="21"/>
          <w:lang w:val="lv-LV" w:eastAsia="en-US"/>
        </w:rPr>
        <w:t>tu</w:t>
      </w:r>
    </w:p>
    <w:p w14:paraId="27AC4A8A" w14:textId="7238B5A2" w:rsidR="007562E0" w:rsidRPr="004E6520" w:rsidRDefault="007562E0" w:rsidP="007562E0">
      <w:pPr>
        <w:autoSpaceDE w:val="0"/>
        <w:autoSpaceDN w:val="0"/>
        <w:adjustRightInd w:val="0"/>
        <w:rPr>
          <w:rFonts w:eastAsiaTheme="minorHAnsi"/>
          <w:color w:val="000000"/>
          <w:sz w:val="22"/>
          <w:szCs w:val="22"/>
          <w:lang w:val="lv-LV" w:eastAsia="en-US"/>
        </w:rPr>
      </w:pPr>
    </w:p>
    <w:sectPr w:rsidR="007562E0" w:rsidRPr="004E6520" w:rsidSect="009D42AA">
      <w:headerReference w:type="default" r:id="rId9"/>
      <w:footerReference w:type="default" r:id="rId10"/>
      <w:pgSz w:w="11906" w:h="16838"/>
      <w:pgMar w:top="1418" w:right="1134" w:bottom="102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82F177" w14:textId="77777777" w:rsidR="003A176A" w:rsidRDefault="003A176A" w:rsidP="003D15A7">
      <w:r>
        <w:separator/>
      </w:r>
    </w:p>
  </w:endnote>
  <w:endnote w:type="continuationSeparator" w:id="0">
    <w:p w14:paraId="46DFFC3D" w14:textId="77777777" w:rsidR="003A176A" w:rsidRDefault="003A176A" w:rsidP="003D15A7">
      <w:r>
        <w:continuationSeparator/>
      </w:r>
    </w:p>
  </w:endnote>
  <w:endnote w:type="continuationNotice" w:id="1">
    <w:p w14:paraId="3C8A34F7" w14:textId="77777777" w:rsidR="003A176A" w:rsidRDefault="003A17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DFAC70" w14:textId="77777777" w:rsidR="00C646EA" w:rsidRDefault="00C646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D3B702" w14:textId="77777777" w:rsidR="003A176A" w:rsidRDefault="003A176A" w:rsidP="003D15A7">
      <w:r>
        <w:separator/>
      </w:r>
    </w:p>
  </w:footnote>
  <w:footnote w:type="continuationSeparator" w:id="0">
    <w:p w14:paraId="2FE7C41B" w14:textId="77777777" w:rsidR="003A176A" w:rsidRDefault="003A176A" w:rsidP="003D15A7">
      <w:r>
        <w:continuationSeparator/>
      </w:r>
    </w:p>
  </w:footnote>
  <w:footnote w:type="continuationNotice" w:id="1">
    <w:p w14:paraId="649B0201" w14:textId="77777777" w:rsidR="003A176A" w:rsidRDefault="003A17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94736" w14:textId="77777777" w:rsidR="00C646EA" w:rsidRDefault="00C646E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C6ECB67"/>
    <w:multiLevelType w:val="hybridMultilevel"/>
    <w:tmpl w:val="689C0A4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C74F5EE"/>
    <w:multiLevelType w:val="hybridMultilevel"/>
    <w:tmpl w:val="A13B32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8E77CD0"/>
    <w:multiLevelType w:val="hybridMultilevel"/>
    <w:tmpl w:val="84DFF83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DF2BBF5D"/>
    <w:multiLevelType w:val="hybridMultilevel"/>
    <w:tmpl w:val="9222445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8DB61C6"/>
    <w:multiLevelType w:val="hybridMultilevel"/>
    <w:tmpl w:val="552ABF50"/>
    <w:lvl w:ilvl="0" w:tplc="10169AF6">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17031232"/>
    <w:multiLevelType w:val="multilevel"/>
    <w:tmpl w:val="35B25B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AF64DB7"/>
    <w:multiLevelType w:val="multilevel"/>
    <w:tmpl w:val="35B25B86"/>
    <w:lvl w:ilvl="0">
      <w:start w:val="10"/>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3FA75CE8"/>
    <w:multiLevelType w:val="hybridMultilevel"/>
    <w:tmpl w:val="5B3B75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4CD307AD"/>
    <w:multiLevelType w:val="hybridMultilevel"/>
    <w:tmpl w:val="C973187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64782BC6"/>
    <w:multiLevelType w:val="hybridMultilevel"/>
    <w:tmpl w:val="D9D67AD6"/>
    <w:lvl w:ilvl="0" w:tplc="27FA25F6">
      <w:start w:val="5"/>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851183286">
    <w:abstractNumId w:val="0"/>
  </w:num>
  <w:num w:numId="2" w16cid:durableId="1374617857">
    <w:abstractNumId w:val="3"/>
  </w:num>
  <w:num w:numId="3" w16cid:durableId="1641422705">
    <w:abstractNumId w:val="1"/>
  </w:num>
  <w:num w:numId="4" w16cid:durableId="228884056">
    <w:abstractNumId w:val="2"/>
  </w:num>
  <w:num w:numId="5" w16cid:durableId="418331080">
    <w:abstractNumId w:val="8"/>
  </w:num>
  <w:num w:numId="6" w16cid:durableId="1576355162">
    <w:abstractNumId w:val="7"/>
  </w:num>
  <w:num w:numId="7" w16cid:durableId="1344480236">
    <w:abstractNumId w:val="4"/>
  </w:num>
  <w:num w:numId="8" w16cid:durableId="1402829284">
    <w:abstractNumId w:val="9"/>
  </w:num>
  <w:num w:numId="9" w16cid:durableId="755636912">
    <w:abstractNumId w:val="6"/>
  </w:num>
  <w:num w:numId="10" w16cid:durableId="14326989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35D8"/>
    <w:rsid w:val="0000179E"/>
    <w:rsid w:val="000157F1"/>
    <w:rsid w:val="00021B40"/>
    <w:rsid w:val="00021D14"/>
    <w:rsid w:val="000319C8"/>
    <w:rsid w:val="00043617"/>
    <w:rsid w:val="000470AD"/>
    <w:rsid w:val="000514EC"/>
    <w:rsid w:val="00054A25"/>
    <w:rsid w:val="000665AC"/>
    <w:rsid w:val="00075F27"/>
    <w:rsid w:val="0008037E"/>
    <w:rsid w:val="000868D0"/>
    <w:rsid w:val="00091A4A"/>
    <w:rsid w:val="000A2149"/>
    <w:rsid w:val="000A2C2B"/>
    <w:rsid w:val="000B4590"/>
    <w:rsid w:val="000B7D66"/>
    <w:rsid w:val="000C75BC"/>
    <w:rsid w:val="000D31FF"/>
    <w:rsid w:val="000D7ACA"/>
    <w:rsid w:val="000E0BFF"/>
    <w:rsid w:val="000E5A44"/>
    <w:rsid w:val="000E6557"/>
    <w:rsid w:val="0011192C"/>
    <w:rsid w:val="00111E50"/>
    <w:rsid w:val="001240E5"/>
    <w:rsid w:val="00133766"/>
    <w:rsid w:val="001359FC"/>
    <w:rsid w:val="00135BD3"/>
    <w:rsid w:val="001450AB"/>
    <w:rsid w:val="00164279"/>
    <w:rsid w:val="00166AD1"/>
    <w:rsid w:val="00173FC0"/>
    <w:rsid w:val="001762E3"/>
    <w:rsid w:val="001816D0"/>
    <w:rsid w:val="00182C34"/>
    <w:rsid w:val="00182E54"/>
    <w:rsid w:val="00185AFB"/>
    <w:rsid w:val="00193226"/>
    <w:rsid w:val="001C08E1"/>
    <w:rsid w:val="001C6166"/>
    <w:rsid w:val="001C70C8"/>
    <w:rsid w:val="001C7D84"/>
    <w:rsid w:val="001C7E8D"/>
    <w:rsid w:val="001E0462"/>
    <w:rsid w:val="001F1825"/>
    <w:rsid w:val="001F229B"/>
    <w:rsid w:val="001F2F7F"/>
    <w:rsid w:val="001F4688"/>
    <w:rsid w:val="001F4A13"/>
    <w:rsid w:val="00202B8A"/>
    <w:rsid w:val="002221F7"/>
    <w:rsid w:val="00224E22"/>
    <w:rsid w:val="00234512"/>
    <w:rsid w:val="00244494"/>
    <w:rsid w:val="00247869"/>
    <w:rsid w:val="00251C75"/>
    <w:rsid w:val="002A02FB"/>
    <w:rsid w:val="002A5B96"/>
    <w:rsid w:val="002A79F9"/>
    <w:rsid w:val="002C35D8"/>
    <w:rsid w:val="002D0780"/>
    <w:rsid w:val="002E6A93"/>
    <w:rsid w:val="002F2999"/>
    <w:rsid w:val="002F5F4F"/>
    <w:rsid w:val="00314966"/>
    <w:rsid w:val="00322D33"/>
    <w:rsid w:val="00330A0D"/>
    <w:rsid w:val="00332AAE"/>
    <w:rsid w:val="003407DF"/>
    <w:rsid w:val="00343C3B"/>
    <w:rsid w:val="0034418A"/>
    <w:rsid w:val="003574D4"/>
    <w:rsid w:val="0037236F"/>
    <w:rsid w:val="003861E5"/>
    <w:rsid w:val="00395BF1"/>
    <w:rsid w:val="003A176A"/>
    <w:rsid w:val="003A6A30"/>
    <w:rsid w:val="003B4632"/>
    <w:rsid w:val="003D15A7"/>
    <w:rsid w:val="003D6FA2"/>
    <w:rsid w:val="003E7D64"/>
    <w:rsid w:val="003F70C7"/>
    <w:rsid w:val="00400325"/>
    <w:rsid w:val="004116E8"/>
    <w:rsid w:val="00420A9C"/>
    <w:rsid w:val="00431EAD"/>
    <w:rsid w:val="00440396"/>
    <w:rsid w:val="004611E5"/>
    <w:rsid w:val="00477D21"/>
    <w:rsid w:val="0048046C"/>
    <w:rsid w:val="004876D5"/>
    <w:rsid w:val="004B1963"/>
    <w:rsid w:val="004B744F"/>
    <w:rsid w:val="004C1DA8"/>
    <w:rsid w:val="004D3A93"/>
    <w:rsid w:val="004E3D91"/>
    <w:rsid w:val="004E54DB"/>
    <w:rsid w:val="004E6520"/>
    <w:rsid w:val="004E712E"/>
    <w:rsid w:val="004F4A59"/>
    <w:rsid w:val="004F66CE"/>
    <w:rsid w:val="00500FDD"/>
    <w:rsid w:val="005317F8"/>
    <w:rsid w:val="00533B73"/>
    <w:rsid w:val="0053633F"/>
    <w:rsid w:val="00553F3D"/>
    <w:rsid w:val="00557BBD"/>
    <w:rsid w:val="0056071E"/>
    <w:rsid w:val="005609B7"/>
    <w:rsid w:val="00566C8C"/>
    <w:rsid w:val="005714C6"/>
    <w:rsid w:val="00572846"/>
    <w:rsid w:val="00573F5E"/>
    <w:rsid w:val="005904C3"/>
    <w:rsid w:val="005910AA"/>
    <w:rsid w:val="005A3982"/>
    <w:rsid w:val="005C1BDC"/>
    <w:rsid w:val="005F3511"/>
    <w:rsid w:val="005F4249"/>
    <w:rsid w:val="005F66B1"/>
    <w:rsid w:val="00623457"/>
    <w:rsid w:val="006243D7"/>
    <w:rsid w:val="0062777A"/>
    <w:rsid w:val="006311AA"/>
    <w:rsid w:val="006376F1"/>
    <w:rsid w:val="0064645B"/>
    <w:rsid w:val="006650F3"/>
    <w:rsid w:val="006740E7"/>
    <w:rsid w:val="006907FF"/>
    <w:rsid w:val="006A0FAD"/>
    <w:rsid w:val="006A4D3B"/>
    <w:rsid w:val="006B1F0B"/>
    <w:rsid w:val="006C1F06"/>
    <w:rsid w:val="006C2233"/>
    <w:rsid w:val="006C48EF"/>
    <w:rsid w:val="006C5325"/>
    <w:rsid w:val="006D630B"/>
    <w:rsid w:val="006E0D04"/>
    <w:rsid w:val="006F015E"/>
    <w:rsid w:val="00707D96"/>
    <w:rsid w:val="00711DC6"/>
    <w:rsid w:val="00716F52"/>
    <w:rsid w:val="007220A9"/>
    <w:rsid w:val="0072733C"/>
    <w:rsid w:val="00730339"/>
    <w:rsid w:val="00730DF8"/>
    <w:rsid w:val="00741C1A"/>
    <w:rsid w:val="00746478"/>
    <w:rsid w:val="00753CF1"/>
    <w:rsid w:val="007562E0"/>
    <w:rsid w:val="00767C07"/>
    <w:rsid w:val="0078034F"/>
    <w:rsid w:val="0078304F"/>
    <w:rsid w:val="007848D7"/>
    <w:rsid w:val="007924BD"/>
    <w:rsid w:val="007D0966"/>
    <w:rsid w:val="007D33F0"/>
    <w:rsid w:val="007D4151"/>
    <w:rsid w:val="007D4FA1"/>
    <w:rsid w:val="007E4972"/>
    <w:rsid w:val="007E7CAB"/>
    <w:rsid w:val="007F3080"/>
    <w:rsid w:val="00802847"/>
    <w:rsid w:val="00805729"/>
    <w:rsid w:val="0080680A"/>
    <w:rsid w:val="00810D6F"/>
    <w:rsid w:val="00826750"/>
    <w:rsid w:val="008267E5"/>
    <w:rsid w:val="00853382"/>
    <w:rsid w:val="00856568"/>
    <w:rsid w:val="00866F67"/>
    <w:rsid w:val="008729D4"/>
    <w:rsid w:val="0088098D"/>
    <w:rsid w:val="00890E80"/>
    <w:rsid w:val="008918EF"/>
    <w:rsid w:val="008A29FC"/>
    <w:rsid w:val="008A5CD0"/>
    <w:rsid w:val="008C6E99"/>
    <w:rsid w:val="008D1251"/>
    <w:rsid w:val="008D1E9C"/>
    <w:rsid w:val="008D3ED8"/>
    <w:rsid w:val="008E73F0"/>
    <w:rsid w:val="0091154B"/>
    <w:rsid w:val="00916F6D"/>
    <w:rsid w:val="0092284C"/>
    <w:rsid w:val="00936CD8"/>
    <w:rsid w:val="00951A0C"/>
    <w:rsid w:val="009532D2"/>
    <w:rsid w:val="009663BF"/>
    <w:rsid w:val="00986454"/>
    <w:rsid w:val="00993574"/>
    <w:rsid w:val="00997091"/>
    <w:rsid w:val="009B4BE9"/>
    <w:rsid w:val="009C2F0B"/>
    <w:rsid w:val="009C41EC"/>
    <w:rsid w:val="009C46C4"/>
    <w:rsid w:val="009D0A6D"/>
    <w:rsid w:val="009D42AA"/>
    <w:rsid w:val="009D5525"/>
    <w:rsid w:val="009D71C8"/>
    <w:rsid w:val="009D7A29"/>
    <w:rsid w:val="00A0715E"/>
    <w:rsid w:val="00A07C59"/>
    <w:rsid w:val="00A10B69"/>
    <w:rsid w:val="00A172AF"/>
    <w:rsid w:val="00A25FC7"/>
    <w:rsid w:val="00A31C3C"/>
    <w:rsid w:val="00A3437A"/>
    <w:rsid w:val="00A40E96"/>
    <w:rsid w:val="00A46200"/>
    <w:rsid w:val="00A62F5D"/>
    <w:rsid w:val="00A67754"/>
    <w:rsid w:val="00A8154A"/>
    <w:rsid w:val="00A92FDC"/>
    <w:rsid w:val="00A95B92"/>
    <w:rsid w:val="00AB1E83"/>
    <w:rsid w:val="00AE4BA0"/>
    <w:rsid w:val="00AE7B70"/>
    <w:rsid w:val="00AF67A2"/>
    <w:rsid w:val="00B02CD2"/>
    <w:rsid w:val="00B102A0"/>
    <w:rsid w:val="00B219EF"/>
    <w:rsid w:val="00B45268"/>
    <w:rsid w:val="00B47BD7"/>
    <w:rsid w:val="00B51B06"/>
    <w:rsid w:val="00B549FD"/>
    <w:rsid w:val="00B62BC6"/>
    <w:rsid w:val="00B63F3A"/>
    <w:rsid w:val="00B652FB"/>
    <w:rsid w:val="00B765AE"/>
    <w:rsid w:val="00B83DB9"/>
    <w:rsid w:val="00BB0C72"/>
    <w:rsid w:val="00BC34E3"/>
    <w:rsid w:val="00BE7F43"/>
    <w:rsid w:val="00BF5CE9"/>
    <w:rsid w:val="00BF76F6"/>
    <w:rsid w:val="00C14402"/>
    <w:rsid w:val="00C25593"/>
    <w:rsid w:val="00C25F03"/>
    <w:rsid w:val="00C32F17"/>
    <w:rsid w:val="00C3664F"/>
    <w:rsid w:val="00C36E04"/>
    <w:rsid w:val="00C41D05"/>
    <w:rsid w:val="00C47D31"/>
    <w:rsid w:val="00C47F78"/>
    <w:rsid w:val="00C54637"/>
    <w:rsid w:val="00C63047"/>
    <w:rsid w:val="00C646EA"/>
    <w:rsid w:val="00CA4BFF"/>
    <w:rsid w:val="00CB6F03"/>
    <w:rsid w:val="00CC1FA4"/>
    <w:rsid w:val="00CC4B66"/>
    <w:rsid w:val="00CC52D0"/>
    <w:rsid w:val="00CD7093"/>
    <w:rsid w:val="00CD70A6"/>
    <w:rsid w:val="00CE0C82"/>
    <w:rsid w:val="00CE5FA3"/>
    <w:rsid w:val="00CF1279"/>
    <w:rsid w:val="00CF3C8D"/>
    <w:rsid w:val="00D00EDF"/>
    <w:rsid w:val="00D04B69"/>
    <w:rsid w:val="00D12D9C"/>
    <w:rsid w:val="00D21ACF"/>
    <w:rsid w:val="00D224AD"/>
    <w:rsid w:val="00D26D43"/>
    <w:rsid w:val="00D31042"/>
    <w:rsid w:val="00D50A67"/>
    <w:rsid w:val="00D6088D"/>
    <w:rsid w:val="00D631E5"/>
    <w:rsid w:val="00D771A0"/>
    <w:rsid w:val="00D9092E"/>
    <w:rsid w:val="00D9133A"/>
    <w:rsid w:val="00DC1B05"/>
    <w:rsid w:val="00DC5B12"/>
    <w:rsid w:val="00DC6974"/>
    <w:rsid w:val="00DD3B1E"/>
    <w:rsid w:val="00DE0472"/>
    <w:rsid w:val="00DE4DC0"/>
    <w:rsid w:val="00DF37F2"/>
    <w:rsid w:val="00E0284E"/>
    <w:rsid w:val="00E0361F"/>
    <w:rsid w:val="00E0666F"/>
    <w:rsid w:val="00E101D8"/>
    <w:rsid w:val="00E12280"/>
    <w:rsid w:val="00E1692D"/>
    <w:rsid w:val="00E3412A"/>
    <w:rsid w:val="00E53564"/>
    <w:rsid w:val="00E713AA"/>
    <w:rsid w:val="00E96C8B"/>
    <w:rsid w:val="00EA3F46"/>
    <w:rsid w:val="00EA603D"/>
    <w:rsid w:val="00EA7BB1"/>
    <w:rsid w:val="00EB2152"/>
    <w:rsid w:val="00EC2100"/>
    <w:rsid w:val="00EC552A"/>
    <w:rsid w:val="00EE2C1E"/>
    <w:rsid w:val="00EE4D3F"/>
    <w:rsid w:val="00EF7702"/>
    <w:rsid w:val="00F02CF8"/>
    <w:rsid w:val="00F037DA"/>
    <w:rsid w:val="00F12809"/>
    <w:rsid w:val="00F22B45"/>
    <w:rsid w:val="00F25314"/>
    <w:rsid w:val="00F52942"/>
    <w:rsid w:val="00F53BA4"/>
    <w:rsid w:val="00F629D8"/>
    <w:rsid w:val="00F62B5A"/>
    <w:rsid w:val="00F62F6C"/>
    <w:rsid w:val="00F7347E"/>
    <w:rsid w:val="00F750BC"/>
    <w:rsid w:val="00F76F3D"/>
    <w:rsid w:val="00F81392"/>
    <w:rsid w:val="00F82835"/>
    <w:rsid w:val="00F879E6"/>
    <w:rsid w:val="00F94F3B"/>
    <w:rsid w:val="00FB4387"/>
    <w:rsid w:val="00FC19F3"/>
    <w:rsid w:val="00FC65C9"/>
    <w:rsid w:val="00FD5CB5"/>
    <w:rsid w:val="00FD72CC"/>
    <w:rsid w:val="00FD73A8"/>
    <w:rsid w:val="00FE0256"/>
    <w:rsid w:val="00FE09D4"/>
    <w:rsid w:val="00FE346B"/>
    <w:rsid w:val="00FF09B2"/>
    <w:rsid w:val="00FF140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88A94E"/>
  <w15:chartTrackingRefBased/>
  <w15:docId w15:val="{B7E06AFC-A1C2-4DAD-B8A6-8BC66CFA5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DB9"/>
    <w:pPr>
      <w:spacing w:after="0" w:line="240" w:lineRule="auto"/>
    </w:pPr>
    <w:rPr>
      <w:rFonts w:ascii="Times New Roman" w:eastAsia="Times New Roman" w:hAnsi="Times New Roman" w:cs="Times New Roman"/>
      <w:sz w:val="24"/>
      <w:szCs w:val="24"/>
      <w:lang w:val="en-US" w:eastAsia="en-GB"/>
    </w:rPr>
  </w:style>
  <w:style w:type="paragraph" w:styleId="Heading1">
    <w:name w:val="heading 1"/>
    <w:basedOn w:val="Normal"/>
    <w:next w:val="Normal"/>
    <w:link w:val="Heading1Char"/>
    <w:uiPriority w:val="9"/>
    <w:qFormat/>
    <w:rsid w:val="00B83DB9"/>
    <w:pPr>
      <w:keepNext/>
      <w:keepLines/>
      <w:spacing w:before="240"/>
      <w:outlineLvl w:val="0"/>
    </w:pPr>
    <w:rPr>
      <w:rFonts w:asciiTheme="majorHAnsi" w:eastAsiaTheme="majorEastAsia" w:hAnsiTheme="majorHAnsi" w:cstheme="majorBidi"/>
      <w:color w:val="2F5496" w:themeColor="accent1" w:themeShade="BF"/>
      <w:sz w:val="32"/>
      <w:szCs w:val="32"/>
      <w:lang w:val="en-GB" w:eastAsia="en-US"/>
    </w:rPr>
  </w:style>
  <w:style w:type="paragraph" w:styleId="Heading4">
    <w:name w:val="heading 4"/>
    <w:basedOn w:val="Normal"/>
    <w:next w:val="Normal"/>
    <w:link w:val="Heading4Char"/>
    <w:uiPriority w:val="9"/>
    <w:semiHidden/>
    <w:unhideWhenUsed/>
    <w:qFormat/>
    <w:rsid w:val="009663B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C35D8"/>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B83DB9"/>
    <w:rPr>
      <w:rFonts w:ascii="Segoe UI" w:eastAsiaTheme="minorHAnsi" w:hAnsi="Segoe UI" w:cs="Segoe UI"/>
      <w:sz w:val="18"/>
      <w:szCs w:val="18"/>
      <w:lang w:val="lv-LV" w:eastAsia="en-US"/>
    </w:rPr>
  </w:style>
  <w:style w:type="character" w:customStyle="1" w:styleId="BalloonTextChar">
    <w:name w:val="Balloon Text Char"/>
    <w:basedOn w:val="DefaultParagraphFont"/>
    <w:link w:val="BalloonText"/>
    <w:uiPriority w:val="99"/>
    <w:semiHidden/>
    <w:rsid w:val="00B83DB9"/>
    <w:rPr>
      <w:rFonts w:ascii="Segoe UI" w:hAnsi="Segoe UI" w:cs="Segoe UI"/>
      <w:sz w:val="18"/>
      <w:szCs w:val="18"/>
    </w:rPr>
  </w:style>
  <w:style w:type="character" w:customStyle="1" w:styleId="Heading1Char">
    <w:name w:val="Heading 1 Char"/>
    <w:basedOn w:val="DefaultParagraphFont"/>
    <w:link w:val="Heading1"/>
    <w:uiPriority w:val="9"/>
    <w:rsid w:val="00B83DB9"/>
    <w:rPr>
      <w:rFonts w:asciiTheme="majorHAnsi" w:eastAsiaTheme="majorEastAsia" w:hAnsiTheme="majorHAnsi" w:cstheme="majorBidi"/>
      <w:color w:val="2F5496" w:themeColor="accent1" w:themeShade="BF"/>
      <w:sz w:val="32"/>
      <w:szCs w:val="32"/>
      <w:lang w:val="en-GB"/>
    </w:rPr>
  </w:style>
  <w:style w:type="paragraph" w:customStyle="1" w:styleId="tvhtml">
    <w:name w:val="tv_html"/>
    <w:basedOn w:val="Normal"/>
    <w:rsid w:val="00B83DB9"/>
    <w:pPr>
      <w:spacing w:before="100" w:beforeAutospacing="1" w:after="100" w:afterAutospacing="1"/>
    </w:pPr>
    <w:rPr>
      <w:rFonts w:eastAsiaTheme="minorHAnsi"/>
      <w:lang w:val="en-GB"/>
    </w:rPr>
  </w:style>
  <w:style w:type="table" w:styleId="TableGrid">
    <w:name w:val="Table Grid"/>
    <w:basedOn w:val="TableNormal"/>
    <w:uiPriority w:val="59"/>
    <w:rsid w:val="00B83DB9"/>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83DB9"/>
    <w:rPr>
      <w:sz w:val="16"/>
      <w:szCs w:val="16"/>
    </w:rPr>
  </w:style>
  <w:style w:type="paragraph" w:styleId="CommentText">
    <w:name w:val="annotation text"/>
    <w:basedOn w:val="Normal"/>
    <w:link w:val="CommentTextChar"/>
    <w:uiPriority w:val="99"/>
    <w:unhideWhenUsed/>
    <w:rsid w:val="00B83DB9"/>
    <w:rPr>
      <w:sz w:val="20"/>
      <w:szCs w:val="20"/>
    </w:rPr>
  </w:style>
  <w:style w:type="character" w:customStyle="1" w:styleId="CommentTextChar">
    <w:name w:val="Comment Text Char"/>
    <w:basedOn w:val="DefaultParagraphFont"/>
    <w:link w:val="CommentText"/>
    <w:uiPriority w:val="99"/>
    <w:rsid w:val="00B83DB9"/>
    <w:rPr>
      <w:rFonts w:ascii="Times New Roman" w:eastAsia="Times New Roman" w:hAnsi="Times New Roman" w:cs="Times New Roman"/>
      <w:sz w:val="20"/>
      <w:szCs w:val="20"/>
      <w:lang w:val="en-US" w:eastAsia="en-GB"/>
    </w:rPr>
  </w:style>
  <w:style w:type="paragraph" w:styleId="CommentSubject">
    <w:name w:val="annotation subject"/>
    <w:basedOn w:val="CommentText"/>
    <w:next w:val="CommentText"/>
    <w:link w:val="CommentSubjectChar"/>
    <w:uiPriority w:val="99"/>
    <w:semiHidden/>
    <w:unhideWhenUsed/>
    <w:rsid w:val="00477D21"/>
    <w:rPr>
      <w:b/>
      <w:bCs/>
    </w:rPr>
  </w:style>
  <w:style w:type="character" w:customStyle="1" w:styleId="CommentSubjectChar">
    <w:name w:val="Comment Subject Char"/>
    <w:basedOn w:val="CommentTextChar"/>
    <w:link w:val="CommentSubject"/>
    <w:uiPriority w:val="99"/>
    <w:semiHidden/>
    <w:rsid w:val="00477D21"/>
    <w:rPr>
      <w:rFonts w:ascii="Times New Roman" w:eastAsia="Times New Roman" w:hAnsi="Times New Roman" w:cs="Times New Roman"/>
      <w:b/>
      <w:bCs/>
      <w:sz w:val="20"/>
      <w:szCs w:val="20"/>
      <w:lang w:val="en-US" w:eastAsia="en-GB"/>
    </w:rPr>
  </w:style>
  <w:style w:type="character" w:customStyle="1" w:styleId="Heading4Char">
    <w:name w:val="Heading 4 Char"/>
    <w:basedOn w:val="DefaultParagraphFont"/>
    <w:link w:val="Heading4"/>
    <w:uiPriority w:val="9"/>
    <w:semiHidden/>
    <w:rsid w:val="009663BF"/>
    <w:rPr>
      <w:rFonts w:asciiTheme="majorHAnsi" w:eastAsiaTheme="majorEastAsia" w:hAnsiTheme="majorHAnsi" w:cstheme="majorBidi"/>
      <w:i/>
      <w:iCs/>
      <w:color w:val="2F5496" w:themeColor="accent1" w:themeShade="BF"/>
      <w:sz w:val="24"/>
      <w:szCs w:val="24"/>
      <w:lang w:val="en-US" w:eastAsia="en-GB"/>
    </w:rPr>
  </w:style>
  <w:style w:type="paragraph" w:styleId="FootnoteText">
    <w:name w:val="footnote text"/>
    <w:basedOn w:val="Normal"/>
    <w:link w:val="FootnoteTextChar"/>
    <w:uiPriority w:val="99"/>
    <w:semiHidden/>
    <w:unhideWhenUsed/>
    <w:rsid w:val="003D15A7"/>
    <w:rPr>
      <w:sz w:val="20"/>
      <w:szCs w:val="20"/>
    </w:rPr>
  </w:style>
  <w:style w:type="character" w:customStyle="1" w:styleId="FootnoteTextChar">
    <w:name w:val="Footnote Text Char"/>
    <w:basedOn w:val="DefaultParagraphFont"/>
    <w:link w:val="FootnoteText"/>
    <w:uiPriority w:val="99"/>
    <w:semiHidden/>
    <w:rsid w:val="003D15A7"/>
    <w:rPr>
      <w:rFonts w:ascii="Times New Roman" w:eastAsia="Times New Roman" w:hAnsi="Times New Roman" w:cs="Times New Roman"/>
      <w:sz w:val="20"/>
      <w:szCs w:val="20"/>
      <w:lang w:val="en-US" w:eastAsia="en-GB"/>
    </w:rPr>
  </w:style>
  <w:style w:type="character" w:styleId="FootnoteReference">
    <w:name w:val="footnote reference"/>
    <w:basedOn w:val="DefaultParagraphFont"/>
    <w:uiPriority w:val="99"/>
    <w:semiHidden/>
    <w:unhideWhenUsed/>
    <w:rsid w:val="003D15A7"/>
    <w:rPr>
      <w:vertAlign w:val="superscript"/>
    </w:rPr>
  </w:style>
  <w:style w:type="paragraph" w:styleId="Revision">
    <w:name w:val="Revision"/>
    <w:hidden/>
    <w:uiPriority w:val="99"/>
    <w:semiHidden/>
    <w:rsid w:val="003574D4"/>
    <w:pPr>
      <w:spacing w:after="0" w:line="240" w:lineRule="auto"/>
    </w:pPr>
    <w:rPr>
      <w:rFonts w:ascii="Times New Roman" w:eastAsia="Times New Roman" w:hAnsi="Times New Roman" w:cs="Times New Roman"/>
      <w:sz w:val="24"/>
      <w:szCs w:val="24"/>
      <w:lang w:val="en-US" w:eastAsia="en-GB"/>
    </w:rPr>
  </w:style>
  <w:style w:type="paragraph" w:styleId="ListParagraph">
    <w:name w:val="List Paragraph"/>
    <w:aliases w:val="2"/>
    <w:basedOn w:val="Normal"/>
    <w:link w:val="ListParagraphChar"/>
    <w:uiPriority w:val="34"/>
    <w:qFormat/>
    <w:rsid w:val="007562E0"/>
    <w:pPr>
      <w:ind w:left="720"/>
      <w:contextualSpacing/>
    </w:pPr>
  </w:style>
  <w:style w:type="character" w:styleId="Hyperlink">
    <w:name w:val="Hyperlink"/>
    <w:basedOn w:val="DefaultParagraphFont"/>
    <w:uiPriority w:val="99"/>
    <w:unhideWhenUsed/>
    <w:rsid w:val="000319C8"/>
    <w:rPr>
      <w:color w:val="0563C1" w:themeColor="hyperlink"/>
      <w:u w:val="single"/>
    </w:rPr>
  </w:style>
  <w:style w:type="character" w:customStyle="1" w:styleId="ListParagraphChar">
    <w:name w:val="List Paragraph Char"/>
    <w:aliases w:val="2 Char"/>
    <w:link w:val="ListParagraph"/>
    <w:uiPriority w:val="34"/>
    <w:rsid w:val="00B219EF"/>
    <w:rPr>
      <w:rFonts w:ascii="Times New Roman" w:eastAsia="Times New Roman" w:hAnsi="Times New Roman" w:cs="Times New Roman"/>
      <w:sz w:val="24"/>
      <w:szCs w:val="24"/>
      <w:lang w:val="en-US" w:eastAsia="en-GB"/>
    </w:rPr>
  </w:style>
  <w:style w:type="paragraph" w:styleId="Header">
    <w:name w:val="header"/>
    <w:basedOn w:val="Normal"/>
    <w:link w:val="HeaderChar"/>
    <w:uiPriority w:val="99"/>
    <w:unhideWhenUsed/>
    <w:rsid w:val="00C646EA"/>
    <w:pPr>
      <w:tabs>
        <w:tab w:val="center" w:pos="4153"/>
        <w:tab w:val="right" w:pos="8306"/>
      </w:tabs>
    </w:pPr>
  </w:style>
  <w:style w:type="character" w:customStyle="1" w:styleId="HeaderChar">
    <w:name w:val="Header Char"/>
    <w:basedOn w:val="DefaultParagraphFont"/>
    <w:link w:val="Header"/>
    <w:uiPriority w:val="99"/>
    <w:rsid w:val="00C646EA"/>
    <w:rPr>
      <w:rFonts w:ascii="Times New Roman" w:eastAsia="Times New Roman" w:hAnsi="Times New Roman" w:cs="Times New Roman"/>
      <w:sz w:val="24"/>
      <w:szCs w:val="24"/>
      <w:lang w:val="en-US" w:eastAsia="en-GB"/>
    </w:rPr>
  </w:style>
  <w:style w:type="paragraph" w:styleId="Footer">
    <w:name w:val="footer"/>
    <w:basedOn w:val="Normal"/>
    <w:link w:val="FooterChar"/>
    <w:uiPriority w:val="99"/>
    <w:unhideWhenUsed/>
    <w:rsid w:val="00C646EA"/>
    <w:pPr>
      <w:tabs>
        <w:tab w:val="center" w:pos="4153"/>
        <w:tab w:val="right" w:pos="8306"/>
      </w:tabs>
    </w:pPr>
  </w:style>
  <w:style w:type="character" w:customStyle="1" w:styleId="FooterChar">
    <w:name w:val="Footer Char"/>
    <w:basedOn w:val="DefaultParagraphFont"/>
    <w:link w:val="Footer"/>
    <w:uiPriority w:val="99"/>
    <w:rsid w:val="00C646EA"/>
    <w:rPr>
      <w:rFonts w:ascii="Times New Roman" w:eastAsia="Times New Roman" w:hAnsi="Times New Roman" w:cs="Times New Roman"/>
      <w:sz w:val="24"/>
      <w:szCs w:val="24"/>
      <w:lang w:val="en-US" w:eastAsia="en-GB"/>
    </w:rPr>
  </w:style>
  <w:style w:type="paragraph" w:styleId="NoSpacing">
    <w:name w:val="No Spacing"/>
    <w:uiPriority w:val="1"/>
    <w:qFormat/>
    <w:rsid w:val="00951A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42161">
      <w:bodyDiv w:val="1"/>
      <w:marLeft w:val="0"/>
      <w:marRight w:val="0"/>
      <w:marTop w:val="0"/>
      <w:marBottom w:val="0"/>
      <w:divBdr>
        <w:top w:val="none" w:sz="0" w:space="0" w:color="auto"/>
        <w:left w:val="none" w:sz="0" w:space="0" w:color="auto"/>
        <w:bottom w:val="none" w:sz="0" w:space="0" w:color="auto"/>
        <w:right w:val="none" w:sz="0" w:space="0" w:color="auto"/>
      </w:divBdr>
    </w:div>
    <w:div w:id="154535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A8D746-049D-4F2F-8A5E-570F73586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12002</Words>
  <Characters>6842</Characters>
  <Application>Microsoft Office Word</Application>
  <DocSecurity>0</DocSecurity>
  <Lines>57</Lines>
  <Paragraphs>37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18807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Indra Niedrīte</dc:creator>
  <cp:keywords/>
  <dc:description/>
  <cp:lastModifiedBy>Kaspars Skrābāns</cp:lastModifiedBy>
  <cp:revision>3</cp:revision>
  <dcterms:created xsi:type="dcterms:W3CDTF">2022-07-05T09:45:00Z</dcterms:created>
  <dcterms:modified xsi:type="dcterms:W3CDTF">2022-07-05T09:47:00Z</dcterms:modified>
</cp:coreProperties>
</file>