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7D" w:rsidRDefault="00CC3F7D" w:rsidP="00CC3F7D">
      <w:pPr>
        <w:ind w:left="5245"/>
        <w:jc w:val="right"/>
        <w:rPr>
          <w:b/>
          <w:sz w:val="22"/>
          <w:szCs w:val="22"/>
          <w:lang w:val="lv-LV"/>
        </w:rPr>
      </w:pPr>
    </w:p>
    <w:p w:rsidR="00CC3F7D" w:rsidRPr="000E0F1B" w:rsidRDefault="00CC3F7D" w:rsidP="00CC3F7D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3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CC3F7D" w:rsidRDefault="00CC3F7D" w:rsidP="00CC3F7D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Pr="000E0F1B" w:rsidRDefault="00CC3F7D" w:rsidP="00CC3F7D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</w:t>
      </w:r>
      <w:proofErr w:type="spellStart"/>
      <w:r>
        <w:rPr>
          <w:sz w:val="16"/>
          <w:szCs w:val="16"/>
          <w:lang w:val="lv-LV"/>
        </w:rPr>
        <w:t>noslēgarmatūras</w:t>
      </w:r>
      <w:proofErr w:type="spellEnd"/>
      <w:r>
        <w:rPr>
          <w:sz w:val="16"/>
          <w:szCs w:val="16"/>
          <w:lang w:val="lv-LV"/>
        </w:rPr>
        <w:t xml:space="preserve"> un materiālu piegādi”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Pr="000E0F1B" w:rsidRDefault="00CC3F7D" w:rsidP="00CC3F7D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 xml:space="preserve"> </w:t>
      </w:r>
    </w:p>
    <w:p w:rsidR="00CC3F7D" w:rsidRDefault="00CC3F7D" w:rsidP="00CC3F7D">
      <w:pPr>
        <w:ind w:left="360"/>
        <w:jc w:val="center"/>
        <w:rPr>
          <w:color w:val="5B566E"/>
          <w:lang w:val="lv-LV"/>
        </w:rPr>
      </w:pPr>
    </w:p>
    <w:p w:rsidR="00CC3F7D" w:rsidRDefault="00CC3F7D" w:rsidP="00CC3F7D">
      <w:pPr>
        <w:ind w:left="360"/>
        <w:jc w:val="center"/>
        <w:rPr>
          <w:color w:val="5B566E"/>
          <w:lang w:val="lv-LV"/>
        </w:rPr>
      </w:pPr>
    </w:p>
    <w:p w:rsidR="00CC3F7D" w:rsidRDefault="00CC3F7D" w:rsidP="00CC3F7D">
      <w:pPr>
        <w:pStyle w:val="Subtitle"/>
        <w:rPr>
          <w:sz w:val="24"/>
        </w:rPr>
      </w:pPr>
      <w:r>
        <w:rPr>
          <w:sz w:val="24"/>
        </w:rPr>
        <w:t>Pie</w:t>
      </w:r>
      <w:r w:rsidRPr="007F1386">
        <w:rPr>
          <w:sz w:val="24"/>
        </w:rPr>
        <w:t xml:space="preserve">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  <w:r>
          <w:rPr>
            <w:sz w:val="24"/>
          </w:rPr>
          <w:t xml:space="preserve"> atklāta konkursa 1.daļā</w:t>
        </w:r>
      </w:smartTag>
    </w:p>
    <w:p w:rsidR="00CC3F7D" w:rsidRPr="007F1386" w:rsidRDefault="00CC3F7D" w:rsidP="00CC3F7D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CC3F7D" w:rsidRPr="007F1386" w:rsidTr="00D07504">
        <w:trPr>
          <w:cantSplit/>
        </w:trPr>
        <w:tc>
          <w:tcPr>
            <w:tcW w:w="4928" w:type="dxa"/>
            <w:gridSpan w:val="2"/>
          </w:tcPr>
          <w:p w:rsidR="00CC3F7D" w:rsidRPr="007F1386" w:rsidRDefault="00CC3F7D" w:rsidP="00D07504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CC3F7D" w:rsidRPr="007F1386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</w:t>
            </w:r>
            <w:r>
              <w:t xml:space="preserve">      </w:t>
            </w:r>
            <w:r w:rsidRPr="007F1386">
              <w:t xml:space="preserve"> ________________</w:t>
            </w:r>
          </w:p>
          <w:p w:rsidR="00CC3F7D" w:rsidRPr="007F1386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</w:t>
            </w:r>
            <w:r>
              <w:t xml:space="preserve">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CC3F7D" w:rsidRPr="00DB7251" w:rsidTr="00D07504">
        <w:trPr>
          <w:cantSplit/>
        </w:trPr>
        <w:tc>
          <w:tcPr>
            <w:tcW w:w="1458" w:type="dxa"/>
          </w:tcPr>
          <w:p w:rsidR="00CC3F7D" w:rsidRDefault="00CC3F7D" w:rsidP="00D07504">
            <w:pPr>
              <w:jc w:val="both"/>
              <w:rPr>
                <w:lang w:val="lv-LV"/>
              </w:rPr>
            </w:pPr>
          </w:p>
          <w:p w:rsidR="00CC3F7D" w:rsidRPr="007F1386" w:rsidRDefault="00CC3F7D" w:rsidP="00D07504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CC3F7D" w:rsidRDefault="00CC3F7D" w:rsidP="00D07504">
            <w:pPr>
              <w:tabs>
                <w:tab w:val="left" w:pos="4733"/>
              </w:tabs>
              <w:rPr>
                <w:lang w:val="lv-LV"/>
              </w:rPr>
            </w:pPr>
          </w:p>
          <w:p w:rsidR="00CC3F7D" w:rsidRPr="00EA4D78" w:rsidRDefault="00CC3F7D" w:rsidP="00D07504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CC3F7D" w:rsidRPr="007F1386" w:rsidRDefault="00CC3F7D" w:rsidP="00D07504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Stigu iela 14, Rīga, LV-1021, Latvija</w:t>
            </w:r>
          </w:p>
        </w:tc>
      </w:tr>
    </w:tbl>
    <w:p w:rsidR="00CC3F7D" w:rsidRDefault="00CC3F7D" w:rsidP="00CC3F7D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F7D" w:rsidRPr="001C7B59" w:rsidRDefault="00CC3F7D" w:rsidP="00CC3F7D">
      <w:pPr>
        <w:jc w:val="both"/>
        <w:rPr>
          <w:b/>
          <w:lang w:val="lv-LV"/>
        </w:rPr>
      </w:pPr>
      <w:r w:rsidRPr="001C7B59">
        <w:rPr>
          <w:b/>
          <w:bCs/>
          <w:lang w:val="lv-LV"/>
        </w:rPr>
        <w:t>Projekts: Atklāts konkurss “</w:t>
      </w:r>
      <w:r w:rsidRPr="001C7B59">
        <w:rPr>
          <w:b/>
          <w:lang w:val="lv-LV"/>
        </w:rPr>
        <w:t xml:space="preserve">Par </w:t>
      </w:r>
      <w:proofErr w:type="spellStart"/>
      <w:r>
        <w:rPr>
          <w:b/>
          <w:lang w:val="lv-LV"/>
        </w:rPr>
        <w:t>noslēgarmatūras</w:t>
      </w:r>
      <w:proofErr w:type="spellEnd"/>
      <w:r>
        <w:rPr>
          <w:b/>
          <w:lang w:val="lv-LV"/>
        </w:rPr>
        <w:t xml:space="preserve"> un materiālu piegādi</w:t>
      </w:r>
      <w:r w:rsidRPr="001C7B59">
        <w:rPr>
          <w:b/>
          <w:bCs/>
          <w:lang w:val="lv-LV"/>
        </w:rPr>
        <w:t>”</w:t>
      </w:r>
    </w:p>
    <w:p w:rsidR="00CC3F7D" w:rsidRDefault="00CC3F7D" w:rsidP="00CC3F7D">
      <w:pPr>
        <w:ind w:firstLine="720"/>
        <w:jc w:val="both"/>
        <w:rPr>
          <w:lang w:val="lv-LV"/>
        </w:rPr>
      </w:pPr>
    </w:p>
    <w:p w:rsidR="00CC3F7D" w:rsidRDefault="00CC3F7D" w:rsidP="00CC3F7D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Konkursa</w:t>
      </w:r>
      <w:r w:rsidRPr="007F1386">
        <w:rPr>
          <w:lang w:val="lv-LV"/>
        </w:rPr>
        <w:t xml:space="preserve">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</w:t>
      </w:r>
      <w:r>
        <w:rPr>
          <w:lang w:val="lv-LV"/>
        </w:rPr>
        <w:t xml:space="preserve">saimnieciski izdevīgāko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pārdot un piegādāt Preci</w:t>
      </w:r>
      <w:r w:rsidRPr="007F1386">
        <w:rPr>
          <w:lang w:val="lv-LV"/>
        </w:rPr>
        <w:t xml:space="preserve">, saskaņā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 </w:t>
      </w:r>
      <w:r w:rsidRPr="007F1386">
        <w:rPr>
          <w:lang w:val="lv-LV"/>
        </w:rPr>
        <w:t xml:space="preserve">par </w:t>
      </w:r>
      <w:r>
        <w:rPr>
          <w:lang w:val="lv-LV"/>
        </w:rPr>
        <w:t>šādu cenu</w:t>
      </w:r>
      <w:r w:rsidRPr="007F1386">
        <w:rPr>
          <w:lang w:val="lv-LV"/>
        </w:rPr>
        <w:t>:</w:t>
      </w:r>
    </w:p>
    <w:p w:rsidR="00CC3F7D" w:rsidRPr="00C33122" w:rsidRDefault="00CC3F7D" w:rsidP="00CC3F7D">
      <w:pPr>
        <w:rPr>
          <w:lang w:val="lv-LV"/>
        </w:rPr>
      </w:pPr>
      <w:r w:rsidRPr="009E6D69">
        <w:rPr>
          <w:b/>
          <w:bCs/>
          <w:sz w:val="22"/>
          <w:szCs w:val="22"/>
          <w:lang w:val="lv-LV"/>
        </w:rPr>
        <w:t>KRĀNI</w:t>
      </w:r>
    </w:p>
    <w:tbl>
      <w:tblPr>
        <w:tblW w:w="313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8"/>
        <w:gridCol w:w="1891"/>
        <w:gridCol w:w="684"/>
        <w:gridCol w:w="817"/>
        <w:gridCol w:w="1459"/>
        <w:gridCol w:w="1452"/>
        <w:gridCol w:w="35"/>
        <w:gridCol w:w="1526"/>
        <w:gridCol w:w="4142"/>
        <w:gridCol w:w="3264"/>
        <w:gridCol w:w="3264"/>
        <w:gridCol w:w="3264"/>
        <w:gridCol w:w="3264"/>
        <w:gridCol w:w="448"/>
      </w:tblGrid>
      <w:tr w:rsidR="00CC3F7D" w:rsidRPr="00C33122" w:rsidTr="00D07504">
        <w:trPr>
          <w:gridAfter w:val="6"/>
          <w:wAfter w:w="17646" w:type="dxa"/>
          <w:trHeight w:val="276"/>
        </w:trPr>
        <w:tc>
          <w:tcPr>
            <w:tcW w:w="710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5178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Iekārtas,materiāla</w:t>
            </w:r>
            <w:proofErr w:type="spellEnd"/>
            <w:r w:rsidRPr="009E6D69">
              <w:rPr>
                <w:b/>
                <w:bCs/>
                <w:sz w:val="18"/>
                <w:szCs w:val="18"/>
                <w:lang w:val="lv-LV"/>
              </w:rPr>
              <w:t xml:space="preserve"> nosaukums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color w:val="000000"/>
                <w:sz w:val="18"/>
                <w:szCs w:val="18"/>
                <w:lang w:val="lv-LV"/>
              </w:rPr>
              <w:t>Pretendenta piedāvājums cena par 1 vienību, EUR bez PVN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color w:val="000000"/>
                <w:sz w:val="18"/>
                <w:szCs w:val="18"/>
                <w:lang w:val="lv-LV"/>
              </w:rPr>
              <w:t>Piedāvājuma cena, EUR bez PVN</w:t>
            </w:r>
          </w:p>
        </w:tc>
      </w:tr>
      <w:tr w:rsidR="00CC3F7D" w:rsidRPr="00C33122" w:rsidTr="00D07504">
        <w:trPr>
          <w:trHeight w:val="58"/>
        </w:trPr>
        <w:tc>
          <w:tcPr>
            <w:tcW w:w="137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 xml:space="preserve">PĀRVADES GĀZESVADA </w:t>
            </w:r>
            <w:proofErr w:type="gramStart"/>
            <w:r w:rsidRPr="009E6D69">
              <w:rPr>
                <w:b/>
                <w:bCs/>
                <w:sz w:val="18"/>
                <w:szCs w:val="18"/>
                <w:lang w:val="lv-LV"/>
              </w:rPr>
              <w:t>VIREŠI –TA</w:t>
            </w:r>
            <w:proofErr w:type="gramEnd"/>
            <w:r w:rsidRPr="009E6D69">
              <w:rPr>
                <w:b/>
                <w:bCs/>
                <w:sz w:val="18"/>
                <w:szCs w:val="18"/>
                <w:lang w:val="lv-LV"/>
              </w:rPr>
              <w:t>LLINA LĪNIJAS KRĀNU MEZGLA T5 UN T6 PĀRBŪVE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left w:val="nil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447" w:type="dxa"/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CC3F7D" w:rsidRPr="00C33122" w:rsidTr="00D07504">
        <w:trPr>
          <w:gridAfter w:val="6"/>
          <w:wAfter w:w="17646" w:type="dxa"/>
          <w:trHeight w:val="699"/>
        </w:trPr>
        <w:tc>
          <w:tcPr>
            <w:tcW w:w="710" w:type="dxa"/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1.1.</w:t>
            </w:r>
          </w:p>
        </w:tc>
        <w:tc>
          <w:tcPr>
            <w:tcW w:w="5178" w:type="dxa"/>
            <w:shd w:val="clear" w:color="auto" w:fill="auto"/>
            <w:noWrap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DN700, PN63, pazemes bez aku uzstādīšanai, ar galiem metināšanai pie caurules Ø720x11, ar elektropiedziņu AUMA.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Darba spiediens: 55 bar.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Pievienojuma veids: metināmi gali pie caurules Ø720x11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Darba temperatūras diapazons pazemes daļai: - 5 līdz +20 ˚C.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Apkārtējās vides temperatūras diapazons virszemes daļai: -38,2ºС...+33,5ºС.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Ārējā pretkorozijas aizsardzība pazemes daļai saskaņā ar LVS EN 10290:2003, PUR, klase B, Tips 1.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Ārējā pretkorozijas aizsardzība virszemes daļai: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Virsmas sagatavošana krāsošanai līdz Sa2½ saskaņā ar LVS EN ISO 8501-1:2007.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Krāsošana ar ilgi izturīgo krāsu. Pretkorozijas pārklājums C4.11 saskaņā ar LVS EN ISO 12944-5:2018. Pēdējās kārtas tonis – RAL 9016.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· Armatūra ir jābūt ATEX sertifikātam un CE marķējumam saskaņa ar direktīvu 2014/34 / ЕS. Armatūra tiek uzstādīta 2.zonā saskaņā ar ATEX klasifikāciju. PED specifikācija.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· Komplektā ar īscaurulēm krāna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blīvešanas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elementi eļļošanai, izpūšanai un drenāžai kopā ar drenāžas krāniem.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Attālums no gāzesvada ass līdz reduktoram: 3200 mm.</w:t>
            </w:r>
          </w:p>
          <w:p w:rsidR="00CC3F7D" w:rsidRPr="009E6D69" w:rsidRDefault="00CC3F7D" w:rsidP="00D07504">
            <w:pPr>
              <w:jc w:val="both"/>
              <w:rPr>
                <w:b/>
                <w:sz w:val="18"/>
                <w:szCs w:val="18"/>
                <w:lang w:val="lv-LV"/>
              </w:rPr>
            </w:pPr>
            <w:r w:rsidRPr="009E6D69">
              <w:rPr>
                <w:b/>
                <w:sz w:val="18"/>
                <w:szCs w:val="18"/>
                <w:lang w:val="lv-LV"/>
              </w:rPr>
              <w:t>· Pievads - esošais: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· Ar elektropiedziņu AUMA,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antivandālisma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izpildījumā.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Barošana: 400VAC, 50Hz. P=4 kW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· Aizsardzības klase – IIG2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EEx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de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IIC T4.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Pārbaudes un CE atbilstības sertifikāti</w:t>
            </w:r>
          </w:p>
        </w:tc>
        <w:tc>
          <w:tcPr>
            <w:tcW w:w="1891" w:type="dxa"/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AG K9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AUMA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Matic</w:t>
            </w:r>
            <w:proofErr w:type="spellEnd"/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SAMExC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14.5 -F14-IB3/90-D380/50-6-8.2-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10.1-11-HA-37GS315/GZ30.1-F40*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 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gab.</w:t>
            </w:r>
          </w:p>
        </w:tc>
        <w:tc>
          <w:tcPr>
            <w:tcW w:w="817" w:type="dxa"/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459" w:type="dxa"/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Nepieciešamības gadījumā esošiem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reduktoriem izgatavot pievienošanas adapterus vai iegādāties un uzstādīt jaunus sajūgus priekš esošiem “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” reduktoriem. Pasūtītāja piegāde.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342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1.2.</w:t>
            </w: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DN200, PN63, pazemes bez aku uzstādīšanai, ar galiem metināšanai pie caurules Ø219,1x7,1, ar rokas piedziņu un reduktoru AUMA.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Darba spiediens: 55 bar.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Pievienojuma veids: metināmi gali metināšanai pie caurules Ø219.1x7,1.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· Darba temperatūras diapazons pazemes daļai: - 5 līdz +20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ºC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Apkārtējās vides temperatūras diapazons virszemes daļai: -38,2ºС...+33,5ºС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· Ārējā pretkorozijas aizsardzība pazemes daļai saskaņa ar LVS EN 10290:2003, PUR, klase B, Tips 1.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Ārējā pretkorozijas aizsardzība virszemes daļai: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Virsmas sagatavošana krāsošanai līdz Sa2½ saskaņā ar LVS EN ISO 8501-1:2007.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Krāsošana ar ilgi izturīgo krāsu. Pretkorozijas pārklājums C4.11 saskaņā ar LVS EN ISO 12944-5:2018. Pēdējās kārtas tonis – RAL 9016.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Armatūra ir jābūt ATEX sertifikātam un CE marķējumam saskaņa ar direktīvu 2014/34 / ЕS. Armatūra tiek uzstādīta 2. zonā saskaņā ar ATEX klasifikāciju. PED specifikācija.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• Komplektā ar īscaurulēm krāna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blīvešanas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elementi eļļošanai, izpūšanai un drenāžai kopā ar drenāžas krāniem.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Attālums no gāzesvada ass līdz reduktoram: 3000 mm.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Krāna pievads: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rokas piedziņa (spēks uz stūres rata &lt;70 N) ar reduktoru,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klimatiskais izpildījums ne mazāk par IP68.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· Pārbaudes un CE atbilstības sertifikāti CE.</w:t>
            </w: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AG K92 Reduktors</w:t>
            </w:r>
            <w:r w:rsidRPr="009E6D69">
              <w:rPr>
                <w:sz w:val="18"/>
                <w:szCs w:val="18"/>
                <w:lang w:val="lv-LV"/>
              </w:rPr>
              <w:br w:type="page"/>
              <w:t xml:space="preserve">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GS 125.3-F16</w:t>
            </w:r>
            <w:r w:rsidRPr="009E6D69">
              <w:rPr>
                <w:sz w:val="18"/>
                <w:szCs w:val="18"/>
                <w:lang w:val="lv-LV"/>
              </w:rPr>
              <w:br w:type="page"/>
            </w: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329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1.3.</w:t>
            </w: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DN50, PN63 virszemes uzstādīšanai ar rokas piedziņu.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Pievienojuma veids: metināšanai caurulei ø60,3x5,6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Apkārtējās vides temperatūras diapazons: -38,2 - +33,5°C.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Ārējā pretkorozijas aizsardzība: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 xml:space="preserve">Virsmas sagatavošana krāsošanai līdz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Sa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2½ saskaņā ar LVS EN ISO 8501-1:2007.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Krāsošana ar ilgi izturīgo krāsu. Pretkorozijas pārklājums C4.11 saskaņā ar LVS EN ISO 12944-5:2018. Pēdējās kārtas tonis – RAL 9016.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Armatūrai ir jābūt ATEX sertifikātam un CE marķējumam saskaņā ar direktīvu 2014/34/ES. Armatūra tiek uzstādīta 2. zonā saskaņā ar ATEX klasifikāciju. PED specifikācija.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Krāna pievads: rokas piedziņa.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Pārbaudes un CE atbilstības sertifikāti</w:t>
            </w: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AGK92</w:t>
            </w: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329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sz w:val="18"/>
                <w:szCs w:val="18"/>
                <w:lang w:val="lv-LV"/>
              </w:rPr>
            </w:pPr>
            <w:r w:rsidRPr="009E6D69">
              <w:rPr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48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trHeight w:val="58"/>
        </w:trPr>
        <w:tc>
          <w:tcPr>
            <w:tcW w:w="1375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PĀRVADES GĀZESVADA (PGV) ATZARA UZ GRS VALMIERA – 1 UN PIESLĒGŠANAS MEZGLA PIE PGV VIREŠI – TALLINA PĀRBŪVE</w:t>
            </w:r>
          </w:p>
          <w:p w:rsidR="00CC3F7D" w:rsidRPr="009E6D69" w:rsidRDefault="00CC3F7D" w:rsidP="00D07504">
            <w:pPr>
              <w:tabs>
                <w:tab w:val="left" w:pos="1419"/>
              </w:tabs>
              <w:jc w:val="both"/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ab/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3F7D" w:rsidRPr="009E6D69" w:rsidRDefault="00CC3F7D" w:rsidP="00D07504">
            <w:pPr>
              <w:tabs>
                <w:tab w:val="left" w:pos="1419"/>
              </w:tabs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left w:val="nil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447" w:type="dxa"/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CC3F7D" w:rsidRPr="00C33122" w:rsidTr="00D07504">
        <w:trPr>
          <w:gridAfter w:val="6"/>
          <w:wAfter w:w="17646" w:type="dxa"/>
          <w:trHeight w:val="58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2.1.</w:t>
            </w:r>
          </w:p>
        </w:tc>
        <w:tc>
          <w:tcPr>
            <w:tcW w:w="5178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DN200, PN63, pazemes bez aku uzstādīšanai, ar galiem metināšanai pie caurules Ø219.1x10, ar elektropiedziņu AUMA.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spiediens: 55 bar.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Pievienojuma veids: metināmi gali metināšanai pie caurules Ø219.1x10.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temperatūras diapazons pazemes daļai: - 5 līdz +20˚C.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Apkārtējās vides temperatūras diapazons virszemes daļai: -38,2ºС...+33,5ºС.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Ārējā pretkorozijas aizsardzība pazemes daļai saskaņa ar LVS EN 10290:2003, PUR, klase B, Tips 1.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Ārējā pretkorozijas aizsardzība virszemes daļai: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Virsmas sagatavošana krāsošanai līdz Sa2½ saskaņā ar LVS EN ISO 8501-1:2007.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Krāsošana ar ilgi izturīgo krāsu. Pretkorozijas pārklājums C4.11 saskaņā ar LVS EN ISO 12944-5:2018. Pēdējās kārtas tonis – RAL 9016.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Armatūrai ir jābūt ATEX sertifikātam un CE marķējumam saskaņa ar direktīvu 2014/34/ЕS. Armatūra tiek uzstādīta 2.zonā saskaņā ar ATEX klasifikāciju. PED specifikācija.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Krāniem jābūt aprīkotiem ar īscaurulēm krāna blīvēšanai, tā elementu eļļošanai, kondensāta izpūšanai un drenāžai. Īscaurulēm jābūt aprīkotām ar drenāžas krāniem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Attālums no gāzesvada ass līdz reduktoram: 2250 mm.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Pievads: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Ar elektropiedziņu AUMA,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antivandālisma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izpildījumā. 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Barošana: 400VAC, 50Hz.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Aizsardzības klase – IIG2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EEx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de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IIC T4.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Ar dublējošo rokas piedziņu (spēks uz stūres rata &lt;60 N) un reduktoru.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Klimatiskais izpildījums ne mazāk par IP66.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Dielektriskais pārvienojums starp krāna un piedziņas mehāniskajām daļām.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 un kontrole: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Vietēja un attālināta vadība.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Režīma izvēle uz pievada.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Vadības un stāvokļa indikācijas ķēdes – 24 VDC.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Vadības signāli – ATVĒRT, AIZVĒRT, STOP.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Stāvokļa indikācija (ATVĒRTS, AIZVĒRTS, AVĀRIJA) – no pievada.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Vadības un indikācijas ķēžu kabeļu ievadi – M20 (2 gab.)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Barošanas ķēžu kabeļu ievadi – M25 (1 gab.)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Pārbaudes un CE atbilstības sertifikāti</w:t>
            </w: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AG K92</w:t>
            </w:r>
            <w:r w:rsidRPr="009E6D69">
              <w:rPr>
                <w:sz w:val="18"/>
                <w:szCs w:val="18"/>
                <w:lang w:val="lv-LV"/>
              </w:rPr>
              <w:br/>
            </w:r>
            <w:r w:rsidRPr="009E6D69">
              <w:rPr>
                <w:sz w:val="18"/>
                <w:szCs w:val="18"/>
                <w:lang w:val="lv-LV"/>
              </w:rPr>
              <w:br/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Matic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SAAMExC07.6-GS 100.3</w:t>
            </w: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shd w:val="clear" w:color="auto" w:fill="auto"/>
          </w:tcPr>
          <w:p w:rsidR="00CC3F7D" w:rsidRPr="009E6D69" w:rsidRDefault="00CC3F7D" w:rsidP="00D07504">
            <w:pPr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762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2.2.</w:t>
            </w: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DN50, PN63 virszemes uzstādīšanai ar rokas piedziņu.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Pievienojuma veids: metināšanai caurulei ø60,3x5,6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Apkārtējās vides temperatūras diapazons: -38,2 - +33,5°C.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Ārējā pretkorozijas aizsardzība: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Virsmas sagatavošana krāsošanai līdz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Sa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2½ saskaņā ar LVS EN ISO 8501-1:2007.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Krāsošana ar ilgi izturīgo krāsu. Pretkorozijas pārklājums C4.11 saskaņā ar LVS EN ISO 12944-5:2018. Pēdējās kārtas tonis – RAL 9016.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Armatūrai ir jābūt ATEX sertifikātam un CE marķējumam saskaņā ar direktīvu 2014/34/ES. Armatūra tiek uzstādīta 2. zonā saskaņā ar ATEX klasifikāciju. PED specifikācija.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Krāna pievads: rokas piedziņa.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Pārbaudes un CE atbilstības sertifikāti</w:t>
            </w: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AGK92</w:t>
            </w: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313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9E6D69">
              <w:rPr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48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trHeight w:val="58"/>
        </w:trPr>
        <w:tc>
          <w:tcPr>
            <w:tcW w:w="1375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PĀRVADES GĀZESVADA ATZARA UZ GRS PALSMANE PIEVIENOŠANAS MEZGLA PIE GĀZESVADA PLESKAVA – RĪGA PĀRBŪVE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CC3F7D" w:rsidRPr="00C33122" w:rsidTr="00D07504">
        <w:trPr>
          <w:gridAfter w:val="6"/>
          <w:wAfter w:w="17646" w:type="dxa"/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Lodveida krāns ar pilnu caurplūdumu DN 150, PN 63, pazemes bez aku uzstādīšanai, ar galiem metināšanai pie caurules Ø168,3x6,3 ar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elektropievadu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AUMA.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vide: dabasgāze.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spiediens: 55 bar.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Pievienojuma veids: metināmi gali metināšanai pie caurules Ø168.3x6,3.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temperatūras diapazons pazemes daļai: - 5 līdz +20C.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Apkārtējās vides temperatūras diapazons virszemes daļai: -38,2 - +33,5°C.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Ārējā pretkorozijas aizsardzība pazemes daļai saskaņa ar LVS EN 10290:2003, PUR, klase B, Tips 1.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Ārējā pretkorozijas aizsardzība virszemes daļai: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- Virsmas sagatavošana krāsošanai līdz Sa2½ saskaņā ar LVS EN ISO 8501-1:2007.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Krāsošana ar ilgi izturīgo krāsu. Pretkorozijas pārklājums S4.21 saskaņā ar LVS EN ISO 12944-5:2007 A. Pēdējās kārtas tonis – RAL 9016.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Armatūra ir jābūt ATEX sertifikātam un CE marķējumam saskaņa ar direktīvu 94/9/EC. Armatūra tiek uzstādīta 2.zonā saskaņā ar ATEX klasifikāciju. PED specifikācija.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Hermētiskuma klase A saskaņā ar LVS EN 12266-1:2012.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Attālums no gāzesvada ass līdz reduktoram: 2700 mm.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- Krāna pievads ar šādiem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rakaturlielumiem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Ar elektropiedziņu AUMA ar vadības bloku,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antivandālisma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izpildījumā.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Barošana: 400VAC, 50Hz. Aizsardzības klase – IIG2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EEx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de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IIC T4;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Ar dublējošo rokas piedziņu (spēks uz stūres rata &lt;120 N) un reduktoru;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Klimatiskais izpildījums ne mazāk par IP66;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Atvēršanas/aizvēršanas laiks: 21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sek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;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Dielektriskais pārvienojums starp krāna un piedziņas mehāniskajām daļām.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Vadība un kontrole: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Vietēja un attālināta vadība;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Režīma izvēle uz pievada.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Vadības un stāvokļa indikācijas ķēdes – 24 VDC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Vadības signāli – ATVĒRT, AIZVĒRT, STOP.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Stāvokļa indikācija (ATVĒRTS, AIZVĒRTS, AVĀRIJA) – no pievada.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Vadības un indikācijas ķēžu kabeļu ievadi – M20 (2 gab.)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Barošanas ķēžu kabeļu ievadi –- M25 (1 gab.)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Pārbaudes un atbilstības sertifikāti CE.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 xml:space="preserve">AG K92 +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Auma</w:t>
            </w:r>
            <w:proofErr w:type="spellEnd"/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SAMExC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07.6-F10-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IB3/90-D400/50-6-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8.2-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10.1-11-HA-37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GS100.3 (126:1)-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F16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76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 100, PN 63, pazemes bez aku uzstādīšanai, ar galiem metināšanai pie caurules Ø114,3x5,6 ar rokas piedziņu.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Darba vide: dabas gāze.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spiediens: 55 bar.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Pievienojuma veids: metināmi gali metināšanai pie caurules Ø114.3x5,6.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temperatūras diapazons pazemes daļai: - 5 līdz +20 °C.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Apkārtējās vides temperatūras diapazons virszemes daļai: -38,2 - +33,5°C.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Ārējā pretkorozijas aizsardzība pazemes daļai saskaņa ar LVS EN 10290:2003, PUR, klase B, Tips 1.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Ārējā pretkorozijas aizsardzība virszemes daļai: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Virsmas sagatavošana krāsošanai līdz Sa2½c saskaņā ar LVS EN ISO 8501-1:2007.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Krāsošana ar ilgi izturīgo krāsu. Pretkorozijas pārklājums S4.21 saskaņā ar LVS EN ISO 12944-5:2007 A. Pēdējās kārtas tonis – RAL 9016.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Armatūra ir jābūt ATEX sertifikātam un CE marķējumam saskaņa ar direktīvu 94/9/EC. Armatūra tiek uzstādīta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2.zonā saskaņā ar ATEX klasifikāciju. PED specifikācija.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Hermētiskuma klase A saskaņā ar LVS EN 12266-1:2012.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Attālums no gāzesvada ass līdz reduktoram: 2700 mm.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Krāna pievads</w:t>
            </w:r>
            <w:proofErr w:type="gramStart"/>
            <w:r w:rsidRPr="009E6D69">
              <w:rPr>
                <w:sz w:val="18"/>
                <w:szCs w:val="18"/>
                <w:lang w:val="lv-LV"/>
              </w:rPr>
              <w:t xml:space="preserve"> : </w:t>
            </w:r>
            <w:proofErr w:type="gramEnd"/>
            <w:r w:rsidRPr="009E6D69">
              <w:rPr>
                <w:sz w:val="18"/>
                <w:szCs w:val="18"/>
                <w:lang w:val="lv-LV"/>
              </w:rPr>
              <w:t>rokas piedziņa (spēks uz stūres rata &lt;70 N) ar reduktoru, klimatiskais izpildījums ne mazāk par IP68.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Pārbaudes un CE atbilstības sertifikāti CE.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AGK92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58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3.3.</w:t>
            </w: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Lodveida krāns ar pilnu caurplūdumu DN 50, PN 63 virszemes uzstādīšanai ar rokas piedziņu ar galiem metināšanai pie caurules Ø60,3x4,5: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vide: dabasgāze.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Darba spiediens gāzesvada: 55 bar.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Pievienojuma veids: metināmi gali metināšanai pie caurules Ø60,3x4,5.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- Apkārtējās vides temperatūras diapazons: -38,2 - +33,5°C 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Ārējā pretkorozijas aizsardzība: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Virsmas sagatavošana krāsošanai līdz Sa2½ saskaņā ar LVS EN ISO 8501-1:2007.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S4.2 saskaņā ar LVS EN ISO 12944-5:2007 A. Pēdējās kārtas tonis – RAL 9016.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Armatūra ir jābūt ATEX sertifikātam un CE marķējumam saskaņā ar direktīvu 94/9/EC. Armatūra tiek uzstādīta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2.zonā saskaņā ar ATEX klasifikāciju. PED specifikācija.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Hermētiskuma klase A saskaņā ar LVS EN 12266-1:2012.</w:t>
            </w:r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Krāna pievads: rokas piedziņa.</w:t>
            </w:r>
          </w:p>
          <w:p w:rsidR="00CC3F7D" w:rsidRPr="009E6D69" w:rsidRDefault="00CC3F7D" w:rsidP="00D07504">
            <w:pPr>
              <w:jc w:val="both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- Pārbaudes un CE atbilstības sertifikāti.</w:t>
            </w: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AGK92</w:t>
            </w: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526" w:type="dxa"/>
            <w:shd w:val="clear" w:color="auto" w:fill="auto"/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C33122" w:rsidTr="00D07504">
        <w:trPr>
          <w:gridAfter w:val="6"/>
          <w:wAfter w:w="17646" w:type="dxa"/>
          <w:trHeight w:val="307"/>
        </w:trPr>
        <w:tc>
          <w:tcPr>
            <w:tcW w:w="710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178" w:type="dxa"/>
            <w:shd w:val="clear" w:color="auto" w:fill="auto"/>
            <w:noWrap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91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84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shd w:val="clear" w:color="auto" w:fill="auto"/>
          </w:tcPr>
          <w:p w:rsidR="00CC3F7D" w:rsidRPr="009E6D69" w:rsidRDefault="00CC3F7D" w:rsidP="00D0750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459" w:type="dxa"/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48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26" w:type="dxa"/>
            <w:shd w:val="clear" w:color="auto" w:fill="auto"/>
          </w:tcPr>
          <w:p w:rsidR="00CC3F7D" w:rsidRPr="009E6D69" w:rsidRDefault="00CC3F7D" w:rsidP="00D07504">
            <w:pPr>
              <w:rPr>
                <w:i/>
                <w:color w:val="000000"/>
                <w:sz w:val="18"/>
                <w:szCs w:val="18"/>
                <w:lang w:val="lv-LV"/>
              </w:rPr>
            </w:pPr>
            <w:r w:rsidRPr="009E6D69">
              <w:rPr>
                <w:i/>
                <w:color w:val="000000"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25098B" w:rsidTr="00D07504">
        <w:trPr>
          <w:gridAfter w:val="6"/>
          <w:wAfter w:w="17646" w:type="dxa"/>
        </w:trPr>
        <w:tc>
          <w:tcPr>
            <w:tcW w:w="12191" w:type="dxa"/>
            <w:gridSpan w:val="7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C3F7D" w:rsidRPr="0025098B" w:rsidTr="00D07504">
        <w:trPr>
          <w:gridAfter w:val="6"/>
          <w:wAfter w:w="17646" w:type="dxa"/>
        </w:trPr>
        <w:tc>
          <w:tcPr>
            <w:tcW w:w="12191" w:type="dxa"/>
            <w:gridSpan w:val="7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PVN 21% EUR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C3F7D" w:rsidRPr="0025098B" w:rsidTr="00D07504">
        <w:trPr>
          <w:gridAfter w:val="6"/>
          <w:wAfter w:w="17646" w:type="dxa"/>
        </w:trPr>
        <w:tc>
          <w:tcPr>
            <w:tcW w:w="121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PAVISAM KOPĀ (ar PVN) EUR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  <w:r>
        <w:t>Piedāvājums ir spēkā 90 dienas no piedāvājuma atvēršanas dienas.</w:t>
      </w: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20423E" w:rsidRDefault="00CC3F7D" w:rsidP="00CC3F7D">
      <w:pPr>
        <w:pStyle w:val="Header"/>
        <w:tabs>
          <w:tab w:val="clear" w:pos="4153"/>
          <w:tab w:val="clear" w:pos="8306"/>
        </w:tabs>
        <w:jc w:val="both"/>
      </w:pPr>
      <w:r w:rsidRPr="0020423E">
        <w:t>Ar šo apliecinām, ka piedāvātā cena ir noteikta šādai piegādes vietai un cenā iekļautas visas ar Preces transportēšanu saistītās izmaksas: AS “</w:t>
      </w:r>
      <w:proofErr w:type="spellStart"/>
      <w:r w:rsidRPr="0020423E">
        <w:t>Conexus</w:t>
      </w:r>
      <w:proofErr w:type="spellEnd"/>
      <w:r w:rsidRPr="0020423E">
        <w:t xml:space="preserve"> </w:t>
      </w:r>
      <w:proofErr w:type="spellStart"/>
      <w:r w:rsidRPr="0020423E">
        <w:t>Baltic</w:t>
      </w:r>
      <w:proofErr w:type="spellEnd"/>
      <w:r w:rsidRPr="0020423E">
        <w:t xml:space="preserve"> </w:t>
      </w:r>
      <w:proofErr w:type="spellStart"/>
      <w:r w:rsidRPr="0020423E">
        <w:t>Grid</w:t>
      </w:r>
      <w:proofErr w:type="spellEnd"/>
      <w:r w:rsidRPr="0020423E">
        <w:t xml:space="preserve">”, </w:t>
      </w:r>
      <w:r w:rsidRPr="00E86F5D">
        <w:t>Gāzes pārvade</w:t>
      </w:r>
      <w:r>
        <w:t>s cauruļu noliktava GRS “Rīga-1”, Saurieši, Stopiņu novads, Latvija</w:t>
      </w:r>
      <w:r w:rsidRPr="0020423E">
        <w:t>.</w:t>
      </w:r>
    </w:p>
    <w:p w:rsidR="00CC3F7D" w:rsidRPr="0020423E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20423E" w:rsidRDefault="00CC3F7D" w:rsidP="00CC3F7D">
      <w:pPr>
        <w:pStyle w:val="Header"/>
        <w:tabs>
          <w:tab w:val="clear" w:pos="4153"/>
          <w:tab w:val="clear" w:pos="8306"/>
        </w:tabs>
        <w:jc w:val="both"/>
      </w:pPr>
      <w:r w:rsidRPr="0020423E">
        <w:t>Preces garantijas termiņš______ _____________________</w:t>
      </w: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  <w:r>
        <w:lastRenderedPageBreak/>
        <w:t>Samaksas noteikumi ________________________</w:t>
      </w: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20423E" w:rsidRDefault="00CC3F7D" w:rsidP="00CC3F7D">
      <w:pPr>
        <w:pStyle w:val="BodyText3"/>
      </w:pPr>
      <w:r w:rsidRPr="0020423E">
        <w:t>Informācija par apakšuzņēmējiem, ja tādi tiks pieaicināti _____________________________________________________________________</w:t>
      </w:r>
    </w:p>
    <w:p w:rsidR="00CC3F7D" w:rsidRDefault="00CC3F7D" w:rsidP="00CC3F7D">
      <w:pPr>
        <w:spacing w:before="120" w:after="120"/>
        <w:jc w:val="both"/>
        <w:rPr>
          <w:lang w:val="lv-LV"/>
        </w:rPr>
      </w:pPr>
      <w:r w:rsidRPr="00C31BAE">
        <w:rPr>
          <w:lang w:val="lv-LV"/>
        </w:rPr>
        <w:t>Esam informēti, ka Pasūtītājam nav pienākums iegādāties visu Tehniskajā specifikācijā norādīto Preču apjomu.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  <w:r w:rsidRPr="0020423E">
        <w:rPr>
          <w:lang w:val="lv-LV"/>
        </w:rPr>
        <w:t>Informācija par to, vai Pretendents ir/nav uzskatāms par ar akciju sabiedrību “</w:t>
      </w:r>
      <w:proofErr w:type="spellStart"/>
      <w:r w:rsidRPr="0020423E">
        <w:rPr>
          <w:lang w:val="lv-LV"/>
        </w:rPr>
        <w:t>Conexus</w:t>
      </w:r>
      <w:proofErr w:type="spellEnd"/>
      <w:r w:rsidRPr="0020423E">
        <w:rPr>
          <w:lang w:val="lv-LV"/>
        </w:rPr>
        <w:t xml:space="preserve"> </w:t>
      </w:r>
      <w:proofErr w:type="spellStart"/>
      <w:r w:rsidRPr="0020423E">
        <w:rPr>
          <w:lang w:val="lv-LV"/>
        </w:rPr>
        <w:t>Baltic</w:t>
      </w:r>
      <w:proofErr w:type="spellEnd"/>
      <w:r w:rsidRPr="0020423E">
        <w:rPr>
          <w:lang w:val="lv-LV"/>
        </w:rPr>
        <w:t xml:space="preserve"> </w:t>
      </w:r>
      <w:proofErr w:type="spellStart"/>
      <w:r w:rsidRPr="0020423E">
        <w:rPr>
          <w:lang w:val="lv-LV"/>
        </w:rPr>
        <w:t>Grid</w:t>
      </w:r>
      <w:proofErr w:type="spellEnd"/>
      <w:r w:rsidRPr="0020423E">
        <w:rPr>
          <w:lang w:val="lv-LV"/>
        </w:rPr>
        <w:t xml:space="preserve">” saistītu uzņēmumu likuma „Par uzņēmumu ienākuma nodokli” izpratnē (ja nepieciešams) </w:t>
      </w:r>
      <w:r>
        <w:rPr>
          <w:lang w:val="lv-LV"/>
        </w:rPr>
        <w:t>_________________________________________________________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 xml:space="preserve">Apliecinām, ka attiecībā uz mums, kā Pretendentu, mūsu valdes vai padomes locekļiem, </w:t>
      </w:r>
      <w:proofErr w:type="spellStart"/>
      <w:r w:rsidRPr="0020423E">
        <w:rPr>
          <w:lang w:val="lv-LV"/>
        </w:rPr>
        <w:t>pārstāvēttiesīgām</w:t>
      </w:r>
      <w:proofErr w:type="spellEnd"/>
      <w:r w:rsidRPr="0020423E">
        <w:rPr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20423E">
        <w:rPr>
          <w:lang w:val="lv-LV"/>
        </w:rPr>
        <w:t xml:space="preserve">  </w:t>
      </w:r>
      <w:proofErr w:type="gramEnd"/>
      <w:r w:rsidRPr="0020423E">
        <w:rPr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Pretendenta nosaukums un komersanta vienotais reģistrācijas numurs: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Juridiskā adrese: ______________________________________________________________</w:t>
      </w: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20423E">
        <w:rPr>
          <w:lang w:val="lv-LV"/>
        </w:rPr>
        <w:t>Pretendenta kontaktpersona, kura ir pilnvarota risināt ar Piedāvājumu saistītos jautājumus konkursa gaitā, amats, vārds, uzvārds, tālruņa numurs un e-pasts: ____________</w:t>
      </w:r>
      <w:r>
        <w:rPr>
          <w:lang w:val="lv-LV"/>
        </w:rPr>
        <w:t>________________________</w:t>
      </w:r>
    </w:p>
    <w:p w:rsidR="00CC3F7D" w:rsidRDefault="00CC3F7D" w:rsidP="00CC3F7D">
      <w:pPr>
        <w:pBdr>
          <w:bottom w:val="single" w:sz="12" w:space="1" w:color="auto"/>
        </w:pBdr>
        <w:jc w:val="both"/>
      </w:pPr>
      <w:proofErr w:type="spellStart"/>
      <w:r w:rsidRPr="0020423E">
        <w:t>Pielikumā</w:t>
      </w:r>
      <w:proofErr w:type="spellEnd"/>
      <w:r w:rsidRPr="0020423E">
        <w:t xml:space="preserve">: </w:t>
      </w:r>
    </w:p>
    <w:p w:rsidR="00CC3F7D" w:rsidRDefault="00CC3F7D" w:rsidP="00CC3F7D">
      <w:pPr>
        <w:pBdr>
          <w:bottom w:val="single" w:sz="12" w:space="1" w:color="auto"/>
        </w:pBdr>
        <w:jc w:val="both"/>
      </w:pPr>
    </w:p>
    <w:p w:rsidR="00CC3F7D" w:rsidRDefault="00CC3F7D" w:rsidP="00CC3F7D">
      <w:pPr>
        <w:pBdr>
          <w:bottom w:val="single" w:sz="12" w:space="1" w:color="auto"/>
        </w:pBdr>
        <w:jc w:val="both"/>
      </w:pPr>
    </w:p>
    <w:p w:rsidR="00CC3F7D" w:rsidRPr="0020423E" w:rsidRDefault="00CC3F7D" w:rsidP="00CC3F7D">
      <w:pPr>
        <w:pBdr>
          <w:bottom w:val="single" w:sz="12" w:space="1" w:color="auto"/>
        </w:pBdr>
        <w:jc w:val="both"/>
      </w:pPr>
    </w:p>
    <w:p w:rsidR="00CC3F7D" w:rsidRPr="0020423E" w:rsidRDefault="00CC3F7D" w:rsidP="00CC3F7D">
      <w:pPr>
        <w:pBdr>
          <w:bottom w:val="single" w:sz="12" w:space="1" w:color="auto"/>
        </w:pBdr>
        <w:jc w:val="both"/>
        <w:rPr>
          <w:i/>
        </w:rPr>
      </w:pPr>
      <w:r w:rsidRPr="0020423E">
        <w:rPr>
          <w:i/>
        </w:rPr>
        <w:t xml:space="preserve">1. </w:t>
      </w:r>
      <w:proofErr w:type="spellStart"/>
      <w:r w:rsidRPr="0020423E">
        <w:rPr>
          <w:i/>
        </w:rPr>
        <w:t>Jāpievieno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dokumenti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saskaņā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ar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konkursa</w:t>
      </w:r>
      <w:proofErr w:type="spellEnd"/>
      <w:r w:rsidRPr="0020423E">
        <w:rPr>
          <w:i/>
        </w:rPr>
        <w:t xml:space="preserve"> </w:t>
      </w:r>
      <w:proofErr w:type="spellStart"/>
      <w:r w:rsidRPr="0020423E">
        <w:rPr>
          <w:i/>
        </w:rPr>
        <w:t>nolikuma</w:t>
      </w:r>
      <w:proofErr w:type="spellEnd"/>
      <w:r w:rsidRPr="0020423E">
        <w:rPr>
          <w:i/>
        </w:rPr>
        <w:t xml:space="preserve"> 7.punktu.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</w:t>
      </w:r>
      <w:r>
        <w:rPr>
          <w:b w:val="0"/>
          <w:sz w:val="24"/>
        </w:rPr>
        <w:t>___________</w:t>
      </w:r>
      <w:r w:rsidRPr="00346F23">
        <w:rPr>
          <w:b w:val="0"/>
          <w:sz w:val="24"/>
        </w:rPr>
        <w:t>_____________________________________________ uz ___lappusēm;</w:t>
      </w:r>
    </w:p>
    <w:p w:rsidR="00CC3F7D" w:rsidRPr="006D0240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CC3F7D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CC3F7D" w:rsidRDefault="00CC3F7D" w:rsidP="00CC3F7D">
      <w:pPr>
        <w:rPr>
          <w:lang w:val="lv-LV"/>
        </w:rPr>
      </w:pPr>
    </w:p>
    <w:p w:rsidR="00CC3F7D" w:rsidRDefault="00CC3F7D" w:rsidP="00CC3F7D">
      <w:pPr>
        <w:rPr>
          <w:lang w:val="lv-LV"/>
        </w:rPr>
      </w:pPr>
    </w:p>
    <w:p w:rsidR="00CC3F7D" w:rsidRDefault="00CC3F7D" w:rsidP="00CC3F7D">
      <w:pPr>
        <w:rPr>
          <w:lang w:val="lv-LV"/>
        </w:rPr>
      </w:pPr>
    </w:p>
    <w:p w:rsidR="00CC3F7D" w:rsidRPr="00E61A8C" w:rsidRDefault="00CC3F7D" w:rsidP="00CC3F7D">
      <w:pPr>
        <w:pBdr>
          <w:bottom w:val="single" w:sz="12" w:space="1" w:color="auto"/>
        </w:pBdr>
        <w:rPr>
          <w:lang w:val="lv-LV"/>
        </w:rPr>
      </w:pPr>
    </w:p>
    <w:p w:rsidR="00CC3F7D" w:rsidRPr="0045245E" w:rsidRDefault="00CC3F7D" w:rsidP="00CC3F7D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  <w:bookmarkStart w:id="0" w:name="RANGE!A1:O35"/>
      <w:bookmarkEnd w:id="0"/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CC3F7D" w:rsidRPr="00E61A8C" w:rsidRDefault="00CC3F7D" w:rsidP="00CC3F7D">
      <w:pPr>
        <w:rPr>
          <w:lang w:val="lv-LV"/>
        </w:rPr>
      </w:pPr>
    </w:p>
    <w:p w:rsidR="00CC3F7D" w:rsidRDefault="00CC3F7D" w:rsidP="00CC3F7D">
      <w:pPr>
        <w:jc w:val="both"/>
        <w:rPr>
          <w:b/>
          <w:bCs/>
          <w:sz w:val="22"/>
          <w:szCs w:val="22"/>
          <w:highlight w:val="yellow"/>
          <w:lang w:val="lv-LV"/>
        </w:rPr>
      </w:pPr>
    </w:p>
    <w:p w:rsidR="00CC3F7D" w:rsidRPr="008F420C" w:rsidRDefault="00CC3F7D" w:rsidP="00CC3F7D">
      <w:pPr>
        <w:rPr>
          <w:lang w:val="lv-LV"/>
        </w:rPr>
      </w:pPr>
    </w:p>
    <w:p w:rsidR="00CC3F7D" w:rsidRPr="008F420C" w:rsidRDefault="00CC3F7D" w:rsidP="00CC3F7D">
      <w:pPr>
        <w:rPr>
          <w:lang w:val="lv-LV"/>
        </w:rPr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ind w:left="360"/>
        <w:jc w:val="right"/>
        <w:rPr>
          <w:b/>
          <w:lang w:val="lv-LV"/>
        </w:rPr>
      </w:pPr>
    </w:p>
    <w:p w:rsidR="00CC3F7D" w:rsidRDefault="00CC3F7D" w:rsidP="00CC3F7D">
      <w:pPr>
        <w:ind w:left="5245"/>
        <w:jc w:val="right"/>
        <w:rPr>
          <w:b/>
          <w:sz w:val="22"/>
          <w:szCs w:val="22"/>
          <w:lang w:val="lv-LV"/>
        </w:rPr>
      </w:pPr>
    </w:p>
    <w:p w:rsidR="00CC3F7D" w:rsidRDefault="00CC3F7D" w:rsidP="00CC3F7D">
      <w:pPr>
        <w:ind w:left="5245"/>
        <w:jc w:val="right"/>
        <w:rPr>
          <w:b/>
          <w:sz w:val="22"/>
          <w:szCs w:val="22"/>
          <w:lang w:val="lv-LV"/>
        </w:rPr>
      </w:pPr>
    </w:p>
    <w:p w:rsidR="00CC3F7D" w:rsidRDefault="00CC3F7D" w:rsidP="00CC3F7D">
      <w:pPr>
        <w:ind w:left="5245"/>
        <w:jc w:val="right"/>
        <w:rPr>
          <w:b/>
          <w:sz w:val="22"/>
          <w:szCs w:val="22"/>
          <w:lang w:val="lv-LV"/>
        </w:rPr>
      </w:pPr>
    </w:p>
    <w:p w:rsidR="00CC3F7D" w:rsidRDefault="00CC3F7D" w:rsidP="00CC3F7D">
      <w:pPr>
        <w:ind w:left="5245"/>
        <w:jc w:val="right"/>
        <w:rPr>
          <w:b/>
          <w:sz w:val="22"/>
          <w:szCs w:val="22"/>
          <w:lang w:val="lv-LV"/>
        </w:rPr>
      </w:pPr>
    </w:p>
    <w:p w:rsidR="00CC3F7D" w:rsidRDefault="00CC3F7D" w:rsidP="001C045B">
      <w:pPr>
        <w:jc w:val="right"/>
        <w:rPr>
          <w:b/>
          <w:sz w:val="22"/>
          <w:szCs w:val="22"/>
          <w:lang w:val="lv-LV"/>
        </w:rPr>
      </w:pPr>
      <w:bookmarkStart w:id="1" w:name="_GoBack"/>
      <w:bookmarkEnd w:id="1"/>
    </w:p>
    <w:p w:rsidR="00CC3F7D" w:rsidRPr="000E0F1B" w:rsidRDefault="00CC3F7D" w:rsidP="00CC3F7D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lastRenderedPageBreak/>
        <w:t>4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CC3F7D" w:rsidRDefault="00CC3F7D" w:rsidP="00CC3F7D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Pr="000E0F1B" w:rsidRDefault="00CC3F7D" w:rsidP="00CC3F7D">
      <w:pPr>
        <w:ind w:left="4962"/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</w:t>
      </w:r>
      <w:proofErr w:type="spellStart"/>
      <w:r>
        <w:rPr>
          <w:sz w:val="16"/>
          <w:szCs w:val="16"/>
          <w:lang w:val="lv-LV"/>
        </w:rPr>
        <w:t>noslēgarmatūras</w:t>
      </w:r>
      <w:proofErr w:type="spellEnd"/>
      <w:r>
        <w:rPr>
          <w:sz w:val="16"/>
          <w:szCs w:val="16"/>
          <w:lang w:val="lv-LV"/>
        </w:rPr>
        <w:t xml:space="preserve"> un materiālu piegādi”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Pr="006F2645" w:rsidRDefault="00CC3F7D" w:rsidP="00CC3F7D">
      <w:pPr>
        <w:pStyle w:val="Heading1"/>
        <w:jc w:val="right"/>
        <w:rPr>
          <w:rFonts w:ascii="Times New Roman" w:hAnsi="Times New Roman"/>
          <w:sz w:val="20"/>
        </w:rPr>
      </w:pPr>
    </w:p>
    <w:p w:rsidR="00CC3F7D" w:rsidRDefault="00CC3F7D" w:rsidP="00CC3F7D">
      <w:pPr>
        <w:rPr>
          <w:lang w:val="lv-LV"/>
        </w:rPr>
      </w:pPr>
    </w:p>
    <w:p w:rsidR="00CC3F7D" w:rsidRDefault="00CC3F7D" w:rsidP="00CC3F7D">
      <w:pPr>
        <w:pStyle w:val="Subtitle"/>
        <w:rPr>
          <w:sz w:val="24"/>
        </w:rPr>
      </w:pPr>
      <w:r>
        <w:rPr>
          <w:sz w:val="24"/>
        </w:rPr>
        <w:t>Pie</w:t>
      </w:r>
      <w:r w:rsidRPr="007F1386">
        <w:rPr>
          <w:sz w:val="24"/>
        </w:rPr>
        <w:t xml:space="preserve">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  <w:r>
          <w:rPr>
            <w:sz w:val="24"/>
          </w:rPr>
          <w:t xml:space="preserve"> atklāta konkursa 2.daļā</w:t>
        </w:r>
      </w:smartTag>
    </w:p>
    <w:p w:rsidR="00CC3F7D" w:rsidRPr="007F1386" w:rsidRDefault="00CC3F7D" w:rsidP="00CC3F7D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CC3F7D" w:rsidRPr="007F1386" w:rsidTr="00D07504">
        <w:trPr>
          <w:cantSplit/>
        </w:trPr>
        <w:tc>
          <w:tcPr>
            <w:tcW w:w="4928" w:type="dxa"/>
            <w:gridSpan w:val="2"/>
          </w:tcPr>
          <w:p w:rsidR="00CC3F7D" w:rsidRPr="007F1386" w:rsidRDefault="00CC3F7D" w:rsidP="00D07504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CC3F7D" w:rsidRPr="007F1386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</w:t>
            </w:r>
            <w:r>
              <w:t xml:space="preserve">      </w:t>
            </w:r>
            <w:r w:rsidRPr="007F1386">
              <w:t xml:space="preserve"> ________________</w:t>
            </w:r>
          </w:p>
          <w:p w:rsidR="00CC3F7D" w:rsidRPr="007F1386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</w:t>
            </w:r>
            <w:r>
              <w:t xml:space="preserve">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CC3F7D" w:rsidRPr="00DB7251" w:rsidTr="00D07504">
        <w:trPr>
          <w:cantSplit/>
        </w:trPr>
        <w:tc>
          <w:tcPr>
            <w:tcW w:w="1458" w:type="dxa"/>
          </w:tcPr>
          <w:p w:rsidR="00CC3F7D" w:rsidRDefault="00CC3F7D" w:rsidP="00D07504">
            <w:pPr>
              <w:jc w:val="both"/>
              <w:rPr>
                <w:lang w:val="lv-LV"/>
              </w:rPr>
            </w:pPr>
          </w:p>
          <w:p w:rsidR="00CC3F7D" w:rsidRPr="007F1386" w:rsidRDefault="00CC3F7D" w:rsidP="00D07504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CC3F7D" w:rsidRDefault="00CC3F7D" w:rsidP="00D07504">
            <w:pPr>
              <w:tabs>
                <w:tab w:val="left" w:pos="4733"/>
              </w:tabs>
              <w:rPr>
                <w:lang w:val="lv-LV"/>
              </w:rPr>
            </w:pPr>
          </w:p>
          <w:p w:rsidR="00CC3F7D" w:rsidRPr="00EA4D78" w:rsidRDefault="00CC3F7D" w:rsidP="00D07504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CC3F7D" w:rsidRPr="007F1386" w:rsidRDefault="00CC3F7D" w:rsidP="00D07504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Stigu iela 14, Rīga, LV-1021, Latvija</w:t>
            </w:r>
          </w:p>
        </w:tc>
      </w:tr>
    </w:tbl>
    <w:p w:rsidR="00CC3F7D" w:rsidRDefault="00CC3F7D" w:rsidP="00CC3F7D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F7D" w:rsidRPr="001C7B59" w:rsidRDefault="00CC3F7D" w:rsidP="00CC3F7D">
      <w:pPr>
        <w:jc w:val="both"/>
        <w:rPr>
          <w:b/>
          <w:lang w:val="lv-LV"/>
        </w:rPr>
      </w:pPr>
      <w:r w:rsidRPr="001C7B59">
        <w:rPr>
          <w:b/>
          <w:bCs/>
          <w:lang w:val="lv-LV"/>
        </w:rPr>
        <w:t>Projekts: Atklāts konkurss “</w:t>
      </w:r>
      <w:r w:rsidRPr="001C7B59">
        <w:rPr>
          <w:b/>
          <w:lang w:val="lv-LV"/>
        </w:rPr>
        <w:t xml:space="preserve">Par </w:t>
      </w:r>
      <w:proofErr w:type="spellStart"/>
      <w:r>
        <w:rPr>
          <w:b/>
          <w:lang w:val="lv-LV"/>
        </w:rPr>
        <w:t>noslēgarmatūras</w:t>
      </w:r>
      <w:proofErr w:type="spellEnd"/>
      <w:r>
        <w:rPr>
          <w:b/>
          <w:lang w:val="lv-LV"/>
        </w:rPr>
        <w:t xml:space="preserve"> un materiālu piegādi</w:t>
      </w:r>
      <w:r w:rsidRPr="001C7B59">
        <w:rPr>
          <w:b/>
          <w:bCs/>
          <w:lang w:val="lv-LV"/>
        </w:rPr>
        <w:t>”</w:t>
      </w:r>
    </w:p>
    <w:p w:rsidR="00CC3F7D" w:rsidRDefault="00CC3F7D" w:rsidP="00CC3F7D">
      <w:pPr>
        <w:ind w:firstLine="720"/>
        <w:jc w:val="both"/>
        <w:rPr>
          <w:lang w:val="lv-LV"/>
        </w:rPr>
      </w:pPr>
    </w:p>
    <w:p w:rsidR="00CC3F7D" w:rsidRDefault="00CC3F7D" w:rsidP="00CC3F7D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Konkursa</w:t>
      </w:r>
      <w:r w:rsidRPr="007F1386">
        <w:rPr>
          <w:lang w:val="lv-LV"/>
        </w:rPr>
        <w:t xml:space="preserve">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</w:t>
      </w:r>
      <w:r>
        <w:rPr>
          <w:lang w:val="lv-LV"/>
        </w:rPr>
        <w:t xml:space="preserve">saimnieciski izdevīgāko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pārdot un piegādāt Preci</w:t>
      </w:r>
      <w:r w:rsidRPr="007F1386">
        <w:rPr>
          <w:lang w:val="lv-LV"/>
        </w:rPr>
        <w:t xml:space="preserve">, saskaņā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tā </w:t>
      </w:r>
      <w:r>
        <w:rPr>
          <w:lang w:val="lv-LV"/>
        </w:rPr>
        <w:t>2</w:t>
      </w:r>
      <w:r w:rsidRPr="007F1386">
        <w:rPr>
          <w:lang w:val="lv-LV"/>
        </w:rPr>
        <w:t>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 Nr.2 </w:t>
      </w:r>
      <w:r w:rsidRPr="007F1386">
        <w:rPr>
          <w:lang w:val="lv-LV"/>
        </w:rPr>
        <w:t xml:space="preserve">par </w:t>
      </w:r>
      <w:r>
        <w:rPr>
          <w:lang w:val="lv-LV"/>
        </w:rPr>
        <w:t>šādu cenu</w:t>
      </w:r>
      <w:r w:rsidRPr="007F1386">
        <w:rPr>
          <w:lang w:val="lv-LV"/>
        </w:rPr>
        <w:t>:</w:t>
      </w:r>
    </w:p>
    <w:p w:rsidR="00CC3F7D" w:rsidRDefault="00CC3F7D" w:rsidP="00CC3F7D">
      <w:pPr>
        <w:ind w:firstLine="720"/>
        <w:jc w:val="both"/>
        <w:rPr>
          <w:lang w:val="lv-LV"/>
        </w:rPr>
      </w:pPr>
    </w:p>
    <w:p w:rsidR="00CC3F7D" w:rsidRPr="00F24A9D" w:rsidRDefault="00CC3F7D" w:rsidP="00CC3F7D">
      <w:pPr>
        <w:ind w:left="698" w:firstLine="720"/>
        <w:rPr>
          <w:lang w:val="lv-LV"/>
        </w:rPr>
      </w:pPr>
      <w:r w:rsidRPr="009E6D69">
        <w:rPr>
          <w:b/>
          <w:bCs/>
          <w:sz w:val="22"/>
          <w:szCs w:val="22"/>
          <w:lang w:val="lv-LV"/>
        </w:rPr>
        <w:t>MATERIĀLI</w:t>
      </w:r>
      <w:r w:rsidRPr="00F24A9D">
        <w:rPr>
          <w:lang w:val="lv-LV"/>
        </w:rPr>
        <w:t xml:space="preserve"> </w:t>
      </w:r>
    </w:p>
    <w:tbl>
      <w:tblPr>
        <w:tblW w:w="133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84"/>
        <w:gridCol w:w="1701"/>
        <w:gridCol w:w="992"/>
        <w:gridCol w:w="992"/>
        <w:gridCol w:w="1418"/>
        <w:gridCol w:w="1418"/>
        <w:gridCol w:w="1418"/>
      </w:tblGrid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both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Iekārtas,materiāla</w:t>
            </w:r>
            <w:proofErr w:type="spellEnd"/>
            <w:r w:rsidRPr="009E6D69">
              <w:rPr>
                <w:b/>
                <w:bCs/>
                <w:sz w:val="18"/>
                <w:szCs w:val="18"/>
                <w:lang w:val="lv-LV"/>
              </w:rPr>
              <w:t xml:space="preserve">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color w:val="000000"/>
                <w:sz w:val="18"/>
                <w:szCs w:val="18"/>
                <w:lang w:val="lv-LV"/>
              </w:rPr>
              <w:t>Pretendenta piedāvājums cena par 1 vienību, EUR bez PVN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color w:val="000000"/>
                <w:sz w:val="18"/>
                <w:szCs w:val="18"/>
                <w:lang w:val="lv-LV"/>
              </w:rPr>
              <w:t>Piedāvājuma cena, EUR bez PVN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13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 xml:space="preserve">PĀRVADES GĀZESVADA </w:t>
            </w:r>
            <w:proofErr w:type="gramStart"/>
            <w:r w:rsidRPr="009E6D69">
              <w:rPr>
                <w:b/>
                <w:bCs/>
                <w:sz w:val="18"/>
                <w:szCs w:val="18"/>
                <w:lang w:val="lv-LV"/>
              </w:rPr>
              <w:t>VIREŠI –TA</w:t>
            </w:r>
            <w:proofErr w:type="gramEnd"/>
            <w:r w:rsidRPr="009E6D69">
              <w:rPr>
                <w:b/>
                <w:bCs/>
                <w:sz w:val="18"/>
                <w:szCs w:val="18"/>
                <w:lang w:val="lv-LV"/>
              </w:rPr>
              <w:t>LLINA LĪNIJAS KRĀNU MEZGLA T5 UN T6 PĀRBŪVE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TDW atzarojums Nr.3, 6”, Klase 600, DN150/700 ar slēgtu atloku, komplektā ar blīvi un cinkotiem stiprinājumiem.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kpl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1.2.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TDW virzuļa kustības signalizators PIG-SIG-IV12</w:t>
            </w:r>
            <w:r w:rsidRPr="009E6D69">
              <w:rPr>
                <w:sz w:val="18"/>
                <w:szCs w:val="18"/>
                <w:lang w:val="lv-LV"/>
              </w:rPr>
              <w:br/>
              <w:t>(kolonnas L1=2300mm, L2=3000mm), vizuāls/elektrisks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kpl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i/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9E6D69">
              <w:rPr>
                <w:b/>
                <w:sz w:val="18"/>
                <w:szCs w:val="18"/>
                <w:lang w:val="lv-LV"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13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PĀRVADES GĀZESVADA (PGV) ATZARA UZ GRS VALMIERA – 1 UN PIESLĒGŠANAS MEZGLA PIE PGV VIREŠI – TALLINA PĀRBŪVE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2.1.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en-US"/>
              </w:rPr>
            </w:pPr>
            <w:r w:rsidRPr="009E6D69">
              <w:rPr>
                <w:sz w:val="18"/>
                <w:szCs w:val="18"/>
                <w:lang w:val="lv-LV"/>
              </w:rPr>
              <w:t>TDW virzuļa kustības signalizators PIG-SIG-IV12 (kolonnas L=2400mm), vizuāls/elektrisks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kpl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13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9E6D69">
              <w:rPr>
                <w:b/>
                <w:bCs/>
                <w:sz w:val="18"/>
                <w:szCs w:val="18"/>
                <w:lang w:val="lv-LV"/>
              </w:rPr>
              <w:t>PGV VIREŠI-TALLINA PIESLĒGŠANAS MEZGLA PIE PGV PLESKAVARĪGA UN PIESLĒGŠANAS MEZGLA PIE PGV IZBORSKA-INČUKALNA PGK PĀRBŪVE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3.1.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atzarojums Nr.3, 6”, Klase 600, Ø720, (komplektā ar slēgtu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pretatloku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, skrūvēm un uzgriežņiem, starpliku)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proofErr w:type="spellStart"/>
            <w:r w:rsidRPr="009E6D69">
              <w:rPr>
                <w:sz w:val="18"/>
                <w:szCs w:val="18"/>
                <w:lang w:val="lv-LV"/>
              </w:rPr>
              <w:t>kpl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13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F24A9D" w:rsidRDefault="00CC3F7D" w:rsidP="00D07504">
            <w:pPr>
              <w:rPr>
                <w:b/>
                <w:bCs/>
                <w:sz w:val="18"/>
                <w:szCs w:val="18"/>
                <w:lang w:val="lv-LV"/>
              </w:rPr>
            </w:pPr>
            <w:r w:rsidRPr="00F24A9D">
              <w:rPr>
                <w:b/>
                <w:bCs/>
                <w:sz w:val="18"/>
                <w:szCs w:val="18"/>
                <w:lang w:val="lv-LV"/>
              </w:rPr>
              <w:t>PĀRVADES GĀZESVADA ATZARA UZ GRS PALSMANE PIEVIENOŠANAS MEZGLA PIE GĀZESVADA PLESKAVA – RĪGA PĀRBŪVE</w:t>
            </w:r>
          </w:p>
        </w:tc>
      </w:tr>
      <w:tr w:rsidR="00CC3F7D" w:rsidRPr="00F24A9D" w:rsidTr="00D07504">
        <w:trPr>
          <w:trHeight w:val="2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lastRenderedPageBreak/>
              <w:t>4.1.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TDW virzuļa kustības signalizators PIG-SIG-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IV(kolonnas</w:t>
            </w:r>
            <w:proofErr w:type="spellEnd"/>
            <w:r w:rsidRPr="009E6D69">
              <w:rPr>
                <w:sz w:val="18"/>
                <w:szCs w:val="18"/>
                <w:lang w:val="lv-LV"/>
              </w:rPr>
              <w:t xml:space="preserve"> L=2700mm), vizuāls/elektrisks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9E6D6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sz w:val="18"/>
                <w:szCs w:val="18"/>
                <w:lang w:val="lv-LV"/>
              </w:rPr>
              <w:t>vai analogs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7D" w:rsidRPr="009E6D69" w:rsidRDefault="00CC3F7D" w:rsidP="00D07504">
            <w:pPr>
              <w:rPr>
                <w:sz w:val="18"/>
                <w:szCs w:val="18"/>
                <w:lang w:val="lv-LV"/>
              </w:rPr>
            </w:pPr>
            <w:r w:rsidRPr="009E6D69">
              <w:rPr>
                <w:i/>
                <w:sz w:val="18"/>
                <w:szCs w:val="18"/>
                <w:lang w:val="lv-LV"/>
              </w:rPr>
              <w:t>Aizpilda Pretendents</w:t>
            </w:r>
          </w:p>
        </w:tc>
      </w:tr>
    </w:tbl>
    <w:p w:rsidR="00CC3F7D" w:rsidRPr="009E6D69" w:rsidRDefault="00CC3F7D" w:rsidP="00CC3F7D">
      <w:pPr>
        <w:rPr>
          <w:vanish/>
        </w:rPr>
      </w:pPr>
    </w:p>
    <w:tbl>
      <w:tblPr>
        <w:tblW w:w="1332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1418"/>
      </w:tblGrid>
      <w:tr w:rsidR="00CC3F7D" w:rsidRPr="0025098B" w:rsidTr="00D07504">
        <w:tc>
          <w:tcPr>
            <w:tcW w:w="11907" w:type="dxa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418" w:type="dxa"/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C3F7D" w:rsidRPr="0025098B" w:rsidTr="00D07504">
        <w:tc>
          <w:tcPr>
            <w:tcW w:w="11907" w:type="dxa"/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PVN 21% EUR</w:t>
            </w:r>
          </w:p>
        </w:tc>
        <w:tc>
          <w:tcPr>
            <w:tcW w:w="1418" w:type="dxa"/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CC3F7D" w:rsidRPr="0025098B" w:rsidTr="00D07504">
        <w:tc>
          <w:tcPr>
            <w:tcW w:w="11907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jc w:val="right"/>
              <w:rPr>
                <w:b/>
                <w:lang w:val="lv-LV"/>
              </w:rPr>
            </w:pPr>
            <w:r w:rsidRPr="009E6D69">
              <w:rPr>
                <w:b/>
                <w:lang w:val="lv-LV"/>
              </w:rPr>
              <w:t>PAVISAM KOPĀ (ar PVN) 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3F7D" w:rsidRPr="009E6D69" w:rsidRDefault="00CC3F7D" w:rsidP="00D0750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C3F7D" w:rsidRPr="001B1746" w:rsidRDefault="00CC3F7D" w:rsidP="00CC3F7D">
      <w:pPr>
        <w:pStyle w:val="Header"/>
        <w:tabs>
          <w:tab w:val="clear" w:pos="4153"/>
          <w:tab w:val="clear" w:pos="8306"/>
        </w:tabs>
        <w:jc w:val="both"/>
        <w:rPr>
          <w:lang w:val="en-GB"/>
        </w:rPr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  <w:r>
        <w:t>Piedāvājums ir spēkā 90 dienas no piedāvājuma atvēršanas dienas.</w:t>
      </w: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1A4692" w:rsidRDefault="00CC3F7D" w:rsidP="00CC3F7D">
      <w:pPr>
        <w:pStyle w:val="Header"/>
        <w:tabs>
          <w:tab w:val="clear" w:pos="4153"/>
          <w:tab w:val="clear" w:pos="8306"/>
        </w:tabs>
        <w:jc w:val="both"/>
      </w:pPr>
      <w:r w:rsidRPr="001A4692">
        <w:t>Ar šo apliecinām, ka piedāvātā cena ir noteikta šādai piegādes vietai un cenā iekļautas visas ar Preces transportēšanu saistītās izmaksas: AS “</w:t>
      </w:r>
      <w:proofErr w:type="spellStart"/>
      <w:r w:rsidRPr="001A4692">
        <w:t>Conexus</w:t>
      </w:r>
      <w:proofErr w:type="spellEnd"/>
      <w:r w:rsidRPr="001A4692">
        <w:t xml:space="preserve"> </w:t>
      </w:r>
      <w:proofErr w:type="spellStart"/>
      <w:r w:rsidRPr="001A4692">
        <w:t>Baltic</w:t>
      </w:r>
      <w:proofErr w:type="spellEnd"/>
      <w:r w:rsidRPr="001A4692">
        <w:t xml:space="preserve"> </w:t>
      </w:r>
      <w:proofErr w:type="spellStart"/>
      <w:r w:rsidRPr="001A4692">
        <w:t>Grid</w:t>
      </w:r>
      <w:proofErr w:type="spellEnd"/>
      <w:r w:rsidRPr="001A4692">
        <w:t xml:space="preserve">”, </w:t>
      </w:r>
      <w:r w:rsidRPr="00E86F5D">
        <w:t>Gāzes pārvade</w:t>
      </w:r>
      <w:r>
        <w:t>s cauruļu noliktava GRS “Rīga-1”, Saurieši, Stopiņu novads, Latvija</w:t>
      </w:r>
      <w:r w:rsidRPr="001A4692">
        <w:t>.</w:t>
      </w:r>
    </w:p>
    <w:p w:rsidR="00CC3F7D" w:rsidRPr="001A4692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  <w:r w:rsidRPr="001A4692">
        <w:t>Preces garantijas termiņš______ _____________________</w:t>
      </w:r>
    </w:p>
    <w:p w:rsidR="00CC3F7D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1A4692" w:rsidRDefault="00CC3F7D" w:rsidP="00CC3F7D">
      <w:pPr>
        <w:pStyle w:val="Header"/>
        <w:tabs>
          <w:tab w:val="clear" w:pos="4153"/>
          <w:tab w:val="clear" w:pos="8306"/>
        </w:tabs>
        <w:jc w:val="both"/>
      </w:pPr>
      <w:r>
        <w:t>Samaksas noteikumi __________________________</w:t>
      </w:r>
    </w:p>
    <w:p w:rsidR="00CC3F7D" w:rsidRPr="001A4692" w:rsidRDefault="00CC3F7D" w:rsidP="00CC3F7D">
      <w:pPr>
        <w:pStyle w:val="Header"/>
        <w:tabs>
          <w:tab w:val="clear" w:pos="4153"/>
          <w:tab w:val="clear" w:pos="8306"/>
        </w:tabs>
        <w:jc w:val="both"/>
      </w:pPr>
    </w:p>
    <w:p w:rsidR="00CC3F7D" w:rsidRPr="001A4692" w:rsidRDefault="00CC3F7D" w:rsidP="00CC3F7D">
      <w:pPr>
        <w:pStyle w:val="BodyText3"/>
      </w:pPr>
      <w:r w:rsidRPr="001A4692">
        <w:t>Informācija par apakšuzņēmējiem, ja tādi tiks pieaicināti _____________________________________________________________________</w:t>
      </w:r>
    </w:p>
    <w:p w:rsidR="00CC3F7D" w:rsidRDefault="00CC3F7D" w:rsidP="00CC3F7D">
      <w:pPr>
        <w:pStyle w:val="BodyText3"/>
      </w:pPr>
    </w:p>
    <w:p w:rsidR="00CC3F7D" w:rsidRPr="00C31BAE" w:rsidRDefault="00CC3F7D" w:rsidP="00CC3F7D">
      <w:pPr>
        <w:spacing w:before="120" w:after="120"/>
        <w:jc w:val="both"/>
        <w:rPr>
          <w:lang w:val="lv-LV"/>
        </w:rPr>
      </w:pPr>
      <w:r w:rsidRPr="00C31BAE">
        <w:rPr>
          <w:lang w:val="lv-LV"/>
        </w:rPr>
        <w:t>Esam informēti, ka Pasūtītājam nav pienākums iegādāties visu Tehniskajā specifikācijā norādīto Preču apjomu.</w:t>
      </w: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  <w:r w:rsidRPr="001A4692">
        <w:rPr>
          <w:lang w:val="lv-LV"/>
        </w:rPr>
        <w:t>Informācija par to, vai Pretendents ir/nav uzskatāms par ar akciju sabiedrību “</w:t>
      </w:r>
      <w:proofErr w:type="spellStart"/>
      <w:r w:rsidRPr="001A4692">
        <w:rPr>
          <w:lang w:val="lv-LV"/>
        </w:rPr>
        <w:t>Conexus</w:t>
      </w:r>
      <w:proofErr w:type="spellEnd"/>
      <w:r w:rsidRPr="001A4692">
        <w:rPr>
          <w:lang w:val="lv-LV"/>
        </w:rPr>
        <w:t xml:space="preserve"> </w:t>
      </w:r>
      <w:proofErr w:type="spellStart"/>
      <w:r w:rsidRPr="001A4692">
        <w:rPr>
          <w:lang w:val="lv-LV"/>
        </w:rPr>
        <w:t>Baltic</w:t>
      </w:r>
      <w:proofErr w:type="spellEnd"/>
      <w:r w:rsidRPr="001A4692">
        <w:rPr>
          <w:lang w:val="lv-LV"/>
        </w:rPr>
        <w:t xml:space="preserve"> </w:t>
      </w:r>
      <w:proofErr w:type="spellStart"/>
      <w:r w:rsidRPr="001A4692">
        <w:rPr>
          <w:lang w:val="lv-LV"/>
        </w:rPr>
        <w:t>Grid</w:t>
      </w:r>
      <w:proofErr w:type="spellEnd"/>
      <w:r w:rsidRPr="001A4692">
        <w:rPr>
          <w:lang w:val="lv-LV"/>
        </w:rPr>
        <w:t xml:space="preserve">” saistītu uzņēmumu likuma „Par uzņēmumu ienākuma nodokli” izpratnē (ja nepieciešams) </w:t>
      </w:r>
    </w:p>
    <w:p w:rsidR="00CC3F7D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 xml:space="preserve">Apliecinām, ka attiecībā uz mums, kā Pretendentu, mūsu valdes vai padomes locekļiem, </w:t>
      </w:r>
      <w:proofErr w:type="spellStart"/>
      <w:r w:rsidRPr="001A4692">
        <w:rPr>
          <w:lang w:val="lv-LV"/>
        </w:rPr>
        <w:t>pārstāvēttiesīgām</w:t>
      </w:r>
      <w:proofErr w:type="spellEnd"/>
      <w:r w:rsidRPr="001A4692">
        <w:rPr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1A4692">
        <w:rPr>
          <w:lang w:val="lv-LV"/>
        </w:rPr>
        <w:t xml:space="preserve">  </w:t>
      </w:r>
      <w:proofErr w:type="gramEnd"/>
      <w:r w:rsidRPr="001A4692">
        <w:rPr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Pretendenta nosaukums un komersanta vienotais reģistrācijas numurs:</w:t>
      </w:r>
    </w:p>
    <w:p w:rsidR="00CC3F7D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t>Juridiskā adrese: ______________________________________________________________</w:t>
      </w:r>
    </w:p>
    <w:p w:rsidR="00CC3F7D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  <w:rPr>
          <w:lang w:val="lv-LV"/>
        </w:rPr>
      </w:pPr>
      <w:r w:rsidRPr="001A4692">
        <w:rPr>
          <w:lang w:val="lv-LV"/>
        </w:rPr>
        <w:lastRenderedPageBreak/>
        <w:t>Pretendenta kontaktpersona, kura ir pilnvarota risināt ar Piedāvājumu saistītos jautājumus konkursa gaitā, amats, vārds, uzvārds, tālruņa numurs un e-pasts: ____________</w:t>
      </w:r>
      <w:r>
        <w:rPr>
          <w:lang w:val="lv-LV"/>
        </w:rPr>
        <w:t>________________________</w:t>
      </w:r>
    </w:p>
    <w:p w:rsidR="00CC3F7D" w:rsidRPr="003A65F4" w:rsidRDefault="00CC3F7D" w:rsidP="00CC3F7D">
      <w:pPr>
        <w:pBdr>
          <w:bottom w:val="single" w:sz="12" w:space="1" w:color="auto"/>
        </w:pBdr>
        <w:jc w:val="both"/>
        <w:rPr>
          <w:b/>
          <w:lang w:val="lv-LV"/>
        </w:rPr>
      </w:pPr>
    </w:p>
    <w:p w:rsidR="00CC3F7D" w:rsidRPr="001A4692" w:rsidRDefault="00CC3F7D" w:rsidP="00CC3F7D">
      <w:pPr>
        <w:pBdr>
          <w:bottom w:val="single" w:sz="12" w:space="1" w:color="auto"/>
        </w:pBdr>
        <w:jc w:val="both"/>
      </w:pPr>
      <w:proofErr w:type="spellStart"/>
      <w:r w:rsidRPr="001A4692">
        <w:t>Pielikumā</w:t>
      </w:r>
      <w:proofErr w:type="spellEnd"/>
      <w:r w:rsidRPr="001A4692">
        <w:t xml:space="preserve">: </w:t>
      </w:r>
    </w:p>
    <w:p w:rsidR="00CC3F7D" w:rsidRPr="00346F23" w:rsidRDefault="00CC3F7D" w:rsidP="00CC3F7D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1</w:t>
      </w:r>
      <w:r w:rsidRPr="00346F23">
        <w:rPr>
          <w:i/>
        </w:rPr>
        <w:t xml:space="preserve">. </w:t>
      </w:r>
      <w:proofErr w:type="spellStart"/>
      <w:r w:rsidRPr="00346F23">
        <w:rPr>
          <w:i/>
        </w:rPr>
        <w:t>Jāpievieno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dokumenti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saskaņā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ar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konkursa</w:t>
      </w:r>
      <w:proofErr w:type="spellEnd"/>
      <w:r w:rsidRPr="00346F23">
        <w:rPr>
          <w:i/>
        </w:rPr>
        <w:t xml:space="preserve"> </w:t>
      </w:r>
      <w:proofErr w:type="spellStart"/>
      <w:r w:rsidRPr="00346F23">
        <w:rPr>
          <w:i/>
        </w:rPr>
        <w:t>nolikuma</w:t>
      </w:r>
      <w:proofErr w:type="spellEnd"/>
      <w:r w:rsidRPr="00346F23">
        <w:rPr>
          <w:i/>
        </w:rPr>
        <w:t xml:space="preserve"> </w:t>
      </w:r>
      <w:r>
        <w:rPr>
          <w:i/>
        </w:rPr>
        <w:t>7</w:t>
      </w:r>
      <w:r w:rsidRPr="00346F23">
        <w:rPr>
          <w:i/>
        </w:rPr>
        <w:t>.punktu.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</w:t>
      </w:r>
      <w:r>
        <w:rPr>
          <w:b w:val="0"/>
          <w:sz w:val="24"/>
        </w:rPr>
        <w:t>___________</w:t>
      </w:r>
      <w:r w:rsidRPr="00346F23">
        <w:rPr>
          <w:b w:val="0"/>
          <w:sz w:val="24"/>
        </w:rPr>
        <w:t>_____________________________________________ uz ___lappusēm;</w:t>
      </w:r>
    </w:p>
    <w:p w:rsidR="00CC3F7D" w:rsidRPr="006D0240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CC3F7D" w:rsidRPr="00346F23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CC3F7D" w:rsidRDefault="00CC3F7D" w:rsidP="00CC3F7D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CC3F7D" w:rsidRDefault="00CC3F7D" w:rsidP="00CC3F7D">
      <w:pPr>
        <w:rPr>
          <w:lang w:val="lv-LV"/>
        </w:rPr>
      </w:pPr>
    </w:p>
    <w:p w:rsidR="00CC3F7D" w:rsidRDefault="00CC3F7D" w:rsidP="00CC3F7D">
      <w:pPr>
        <w:rPr>
          <w:lang w:val="lv-LV"/>
        </w:rPr>
      </w:pPr>
    </w:p>
    <w:p w:rsidR="00CC3F7D" w:rsidRDefault="00CC3F7D" w:rsidP="00CC3F7D">
      <w:pPr>
        <w:rPr>
          <w:lang w:val="lv-LV"/>
        </w:rPr>
      </w:pPr>
    </w:p>
    <w:p w:rsidR="00CC3F7D" w:rsidRPr="00E61A8C" w:rsidRDefault="00CC3F7D" w:rsidP="00CC3F7D">
      <w:pPr>
        <w:pBdr>
          <w:bottom w:val="single" w:sz="12" w:space="1" w:color="auto"/>
        </w:pBdr>
        <w:rPr>
          <w:lang w:val="lv-LV"/>
        </w:rPr>
      </w:pPr>
    </w:p>
    <w:p w:rsidR="00CC3F7D" w:rsidRPr="0045245E" w:rsidRDefault="00CC3F7D" w:rsidP="00CC3F7D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  <w:sectPr w:rsidR="00CC3F7D" w:rsidSect="00C303B0">
          <w:headerReference w:type="even" r:id="rId5"/>
          <w:headerReference w:type="default" r:id="rId6"/>
          <w:footerReference w:type="first" r:id="rId7"/>
          <w:pgSz w:w="16838" w:h="11906" w:orient="landscape"/>
          <w:pgMar w:top="709" w:right="851" w:bottom="794" w:left="1588" w:header="709" w:footer="709" w:gutter="0"/>
          <w:cols w:space="708"/>
          <w:titlePg/>
          <w:docGrid w:linePitch="360"/>
        </w:sect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Pr="000E0F1B" w:rsidRDefault="00CC3F7D" w:rsidP="00CC3F7D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t>5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CC3F7D" w:rsidRDefault="00CC3F7D" w:rsidP="00CC3F7D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Default="00CC3F7D" w:rsidP="00CC3F7D">
      <w:pPr>
        <w:jc w:val="right"/>
        <w:rPr>
          <w:b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</w:t>
      </w:r>
      <w:proofErr w:type="spellStart"/>
      <w:r>
        <w:rPr>
          <w:sz w:val="16"/>
          <w:szCs w:val="16"/>
          <w:lang w:val="lv-LV"/>
        </w:rPr>
        <w:t>noslēgarmatūras</w:t>
      </w:r>
      <w:proofErr w:type="spellEnd"/>
      <w:r>
        <w:rPr>
          <w:sz w:val="16"/>
          <w:szCs w:val="16"/>
          <w:lang w:val="lv-LV"/>
        </w:rPr>
        <w:t xml:space="preserve"> un materiālu piegādi”</w:t>
      </w:r>
    </w:p>
    <w:p w:rsidR="00CC3F7D" w:rsidRDefault="00CC3F7D" w:rsidP="00CC3F7D">
      <w:pPr>
        <w:jc w:val="right"/>
        <w:rPr>
          <w:b/>
          <w:lang w:val="lv-LV"/>
        </w:rPr>
      </w:pPr>
    </w:p>
    <w:p w:rsidR="00CC3F7D" w:rsidRPr="003B3963" w:rsidRDefault="00CC3F7D" w:rsidP="00CC3F7D">
      <w:pPr>
        <w:rPr>
          <w:b/>
          <w:lang w:val="lv-LV"/>
        </w:rPr>
      </w:pPr>
    </w:p>
    <w:p w:rsidR="00CC3F7D" w:rsidRPr="003B3963" w:rsidRDefault="00CC3F7D" w:rsidP="00CC3F7D">
      <w:pPr>
        <w:rPr>
          <w:b/>
          <w:lang w:val="lv-LV"/>
        </w:rPr>
      </w:pPr>
    </w:p>
    <w:p w:rsidR="00CC3F7D" w:rsidRDefault="00CC3F7D" w:rsidP="00CC3F7D">
      <w:pPr>
        <w:jc w:val="center"/>
        <w:rPr>
          <w:b/>
          <w:lang w:val="lv-LV"/>
        </w:rPr>
      </w:pPr>
      <w:r>
        <w:rPr>
          <w:b/>
          <w:lang w:val="lv-LV"/>
        </w:rPr>
        <w:t>Informācija par līdzīgām Preču piegādēm, ko P</w:t>
      </w:r>
      <w:r w:rsidRPr="003B3963">
        <w:rPr>
          <w:b/>
          <w:lang w:val="lv-LV"/>
        </w:rPr>
        <w:t>retendent</w:t>
      </w:r>
      <w:r>
        <w:rPr>
          <w:b/>
          <w:lang w:val="lv-LV"/>
        </w:rPr>
        <w:t>s veicis pēdējo 3</w:t>
      </w:r>
      <w:r w:rsidRPr="003B3963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3B3963">
        <w:rPr>
          <w:b/>
          <w:lang w:val="lv-LV"/>
        </w:rPr>
        <w:t>) gad</w:t>
      </w:r>
      <w:r>
        <w:rPr>
          <w:b/>
          <w:lang w:val="lv-LV"/>
        </w:rPr>
        <w:t xml:space="preserve">u laikā </w:t>
      </w:r>
    </w:p>
    <w:p w:rsidR="00CC3F7D" w:rsidRDefault="00CC3F7D" w:rsidP="00CC3F7D">
      <w:pPr>
        <w:jc w:val="center"/>
        <w:rPr>
          <w:b/>
          <w:lang w:val="lv-LV"/>
        </w:rPr>
      </w:pPr>
      <w:r>
        <w:rPr>
          <w:b/>
          <w:lang w:val="lv-LV"/>
        </w:rPr>
        <w:t>(2016., 2017.</w:t>
      </w:r>
      <w:r w:rsidRPr="003B3963">
        <w:rPr>
          <w:b/>
          <w:lang w:val="lv-LV"/>
        </w:rPr>
        <w:t xml:space="preserve">, </w:t>
      </w:r>
      <w:proofErr w:type="gramStart"/>
      <w:r>
        <w:rPr>
          <w:b/>
          <w:lang w:val="lv-LV"/>
        </w:rPr>
        <w:t>2018.gads</w:t>
      </w:r>
      <w:proofErr w:type="gramEnd"/>
      <w:r>
        <w:rPr>
          <w:b/>
          <w:lang w:val="lv-LV"/>
        </w:rPr>
        <w:t xml:space="preserve">, tiks ņemts vērā arī 2019.gads), </w:t>
      </w:r>
    </w:p>
    <w:p w:rsidR="00CC3F7D" w:rsidRPr="005D2F0C" w:rsidRDefault="00CC3F7D" w:rsidP="00CC3F7D">
      <w:pPr>
        <w:jc w:val="center"/>
        <w:rPr>
          <w:i/>
          <w:lang w:val="lv-LV"/>
        </w:rPr>
      </w:pPr>
      <w:r w:rsidRPr="003B3963">
        <w:rPr>
          <w:b/>
          <w:lang w:val="lv-LV"/>
        </w:rPr>
        <w:t xml:space="preserve">kas apliecina </w:t>
      </w:r>
      <w:r>
        <w:rPr>
          <w:b/>
          <w:lang w:val="lv-LV"/>
        </w:rPr>
        <w:t>P</w:t>
      </w:r>
      <w:r w:rsidRPr="003B3963">
        <w:rPr>
          <w:b/>
          <w:lang w:val="lv-LV"/>
        </w:rPr>
        <w:t xml:space="preserve">retendenta atbilstību </w:t>
      </w:r>
      <w:r w:rsidRPr="00452219">
        <w:rPr>
          <w:b/>
          <w:lang w:val="lv-LV"/>
        </w:rPr>
        <w:t>Nolikuma 7.</w:t>
      </w:r>
      <w:r>
        <w:rPr>
          <w:b/>
          <w:lang w:val="lv-LV"/>
        </w:rPr>
        <w:t>5</w:t>
      </w:r>
      <w:r w:rsidRPr="00452219">
        <w:rPr>
          <w:b/>
          <w:lang w:val="lv-LV"/>
        </w:rPr>
        <w:t>.punkta prasībām</w:t>
      </w:r>
    </w:p>
    <w:p w:rsidR="00CC3F7D" w:rsidRPr="00710D60" w:rsidRDefault="00CC3F7D" w:rsidP="00CC3F7D">
      <w:pPr>
        <w:jc w:val="center"/>
        <w:rPr>
          <w:b/>
          <w:lang w:val="lv-LV"/>
        </w:rPr>
      </w:pPr>
      <w:r w:rsidRPr="00710D60">
        <w:rPr>
          <w:lang w:val="lv-LV"/>
        </w:rPr>
        <w:t xml:space="preserve">Atklātam konkursam “Par </w:t>
      </w:r>
      <w:proofErr w:type="spellStart"/>
      <w:r>
        <w:rPr>
          <w:lang w:val="lv-LV"/>
        </w:rPr>
        <w:t>noslēgarmatūras</w:t>
      </w:r>
      <w:proofErr w:type="spellEnd"/>
      <w:r>
        <w:rPr>
          <w:lang w:val="lv-LV"/>
        </w:rPr>
        <w:t xml:space="preserve"> un materiālu piegādi</w:t>
      </w:r>
      <w:r w:rsidRPr="00710D60">
        <w:rPr>
          <w:bCs/>
          <w:lang w:val="lv-LV"/>
        </w:rPr>
        <w:t>”</w:t>
      </w:r>
    </w:p>
    <w:p w:rsidR="00CC3F7D" w:rsidRPr="00710D60" w:rsidRDefault="00CC3F7D" w:rsidP="00CC3F7D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CC3F7D" w:rsidRPr="00793AF1" w:rsidTr="00D07504">
        <w:trPr>
          <w:jc w:val="center"/>
        </w:trPr>
        <w:tc>
          <w:tcPr>
            <w:tcW w:w="2547" w:type="dxa"/>
            <w:vAlign w:val="center"/>
          </w:tcPr>
          <w:p w:rsidR="00CC3F7D" w:rsidRPr="003B3963" w:rsidRDefault="00CC3F7D" w:rsidP="00D07504">
            <w:pPr>
              <w:rPr>
                <w:lang w:val="lv-LV"/>
              </w:rPr>
            </w:pPr>
            <w:r w:rsidRPr="003B3963">
              <w:rPr>
                <w:lang w:val="lv-LV"/>
              </w:rPr>
              <w:t>Pasūtītājs (nosaukums, adrese, kontaktpersona</w:t>
            </w:r>
            <w:r>
              <w:rPr>
                <w:lang w:val="lv-LV"/>
              </w:rPr>
              <w:t>, tālruņa numurs</w:t>
            </w:r>
            <w:r w:rsidRPr="003B3963">
              <w:rPr>
                <w:lang w:val="lv-LV"/>
              </w:rPr>
              <w:t>)</w:t>
            </w:r>
          </w:p>
        </w:tc>
        <w:tc>
          <w:tcPr>
            <w:tcW w:w="2551" w:type="dxa"/>
            <w:vAlign w:val="center"/>
          </w:tcPr>
          <w:p w:rsidR="00CC3F7D" w:rsidRPr="003B3963" w:rsidRDefault="00CC3F7D" w:rsidP="00D07504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Piegādātās preces, to apjoms </w:t>
            </w:r>
          </w:p>
        </w:tc>
        <w:tc>
          <w:tcPr>
            <w:tcW w:w="1937" w:type="dxa"/>
            <w:vAlign w:val="center"/>
          </w:tcPr>
          <w:p w:rsidR="00CC3F7D" w:rsidRPr="003B3963" w:rsidRDefault="00CC3F7D" w:rsidP="00D07504">
            <w:pPr>
              <w:rPr>
                <w:lang w:val="lv-LV"/>
              </w:rPr>
            </w:pPr>
            <w:r>
              <w:rPr>
                <w:lang w:val="lv-LV"/>
              </w:rPr>
              <w:t xml:space="preserve">Piegādāto preču vērtība </w:t>
            </w:r>
            <w:proofErr w:type="spellStart"/>
            <w:r w:rsidRPr="008B6843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CC3F7D" w:rsidRPr="003B3963" w:rsidRDefault="00CC3F7D" w:rsidP="00D07504">
            <w:pPr>
              <w:rPr>
                <w:lang w:val="lv-LV"/>
              </w:rPr>
            </w:pPr>
            <w:r>
              <w:rPr>
                <w:lang w:val="lv-LV"/>
              </w:rPr>
              <w:t>Izpildes gads</w:t>
            </w:r>
          </w:p>
        </w:tc>
      </w:tr>
      <w:tr w:rsidR="00CC3F7D" w:rsidRPr="00793AF1" w:rsidTr="00D07504">
        <w:trPr>
          <w:jc w:val="center"/>
        </w:trPr>
        <w:tc>
          <w:tcPr>
            <w:tcW w:w="254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</w:tr>
      <w:tr w:rsidR="00CC3F7D" w:rsidRPr="00793AF1" w:rsidTr="00D07504">
        <w:trPr>
          <w:jc w:val="center"/>
        </w:trPr>
        <w:tc>
          <w:tcPr>
            <w:tcW w:w="254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</w:tr>
      <w:tr w:rsidR="00CC3F7D" w:rsidRPr="00793AF1" w:rsidTr="00D07504">
        <w:trPr>
          <w:jc w:val="center"/>
        </w:trPr>
        <w:tc>
          <w:tcPr>
            <w:tcW w:w="254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</w:tr>
      <w:tr w:rsidR="00CC3F7D" w:rsidRPr="00793AF1" w:rsidTr="00D07504">
        <w:trPr>
          <w:jc w:val="center"/>
        </w:trPr>
        <w:tc>
          <w:tcPr>
            <w:tcW w:w="254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CC3F7D" w:rsidRPr="003B3963" w:rsidRDefault="00CC3F7D" w:rsidP="00D07504">
            <w:pPr>
              <w:rPr>
                <w:lang w:val="lv-LV"/>
              </w:rPr>
            </w:pPr>
          </w:p>
        </w:tc>
      </w:tr>
    </w:tbl>
    <w:p w:rsidR="00CC3F7D" w:rsidRPr="003B3963" w:rsidRDefault="00CC3F7D" w:rsidP="00CC3F7D">
      <w:pPr>
        <w:rPr>
          <w:b/>
          <w:lang w:val="lv-LV"/>
        </w:rPr>
      </w:pPr>
    </w:p>
    <w:p w:rsidR="00CC3F7D" w:rsidRPr="003B3963" w:rsidRDefault="00CC3F7D" w:rsidP="00CC3F7D">
      <w:pPr>
        <w:rPr>
          <w:b/>
          <w:lang w:val="lv-LV"/>
        </w:rPr>
      </w:pPr>
    </w:p>
    <w:p w:rsidR="00CC3F7D" w:rsidRPr="003B3963" w:rsidRDefault="00CC3F7D" w:rsidP="00CC3F7D">
      <w:pPr>
        <w:rPr>
          <w:bCs/>
          <w:lang w:val="lv-LV"/>
        </w:rPr>
      </w:pPr>
      <w:proofErr w:type="gramStart"/>
      <w:r w:rsidRPr="003B3963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3B3963">
        <w:rPr>
          <w:bCs/>
          <w:lang w:val="lv-LV"/>
        </w:rPr>
        <w:t>.gada</w:t>
      </w:r>
      <w:proofErr w:type="gramEnd"/>
      <w:r w:rsidRPr="003B3963">
        <w:rPr>
          <w:bCs/>
          <w:lang w:val="lv-LV"/>
        </w:rPr>
        <w:t xml:space="preserve"> ___._____________</w:t>
      </w:r>
    </w:p>
    <w:p w:rsidR="00CC3F7D" w:rsidRPr="003B3963" w:rsidRDefault="00CC3F7D" w:rsidP="00CC3F7D">
      <w:pPr>
        <w:rPr>
          <w:bCs/>
          <w:i/>
          <w:lang w:val="lv-LV"/>
        </w:rPr>
      </w:pPr>
    </w:p>
    <w:p w:rsidR="00CC3F7D" w:rsidRPr="003B3963" w:rsidRDefault="00CC3F7D" w:rsidP="00CC3F7D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:rsidR="00CC3F7D" w:rsidRPr="003B3963" w:rsidRDefault="00CC3F7D" w:rsidP="00CC3F7D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atšifrējums)</w:t>
      </w: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CC3F7D" w:rsidRPr="000E0F1B" w:rsidRDefault="00CC3F7D" w:rsidP="00CC3F7D">
      <w:pPr>
        <w:ind w:left="5245"/>
        <w:jc w:val="right"/>
        <w:rPr>
          <w:sz w:val="20"/>
          <w:lang w:val="lv-LV"/>
        </w:rPr>
      </w:pPr>
      <w:r>
        <w:rPr>
          <w:b/>
          <w:sz w:val="22"/>
          <w:szCs w:val="22"/>
          <w:lang w:val="lv-LV"/>
        </w:rPr>
        <w:lastRenderedPageBreak/>
        <w:t>6</w:t>
      </w:r>
      <w:r w:rsidRPr="000E0F1B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p</w:t>
      </w:r>
      <w:r w:rsidRPr="000E0F1B">
        <w:rPr>
          <w:b/>
          <w:sz w:val="22"/>
          <w:szCs w:val="22"/>
          <w:lang w:val="lv-LV"/>
        </w:rPr>
        <w:t>ielikums</w:t>
      </w:r>
    </w:p>
    <w:p w:rsidR="00CC3F7D" w:rsidRDefault="00CC3F7D" w:rsidP="00CC3F7D">
      <w:pPr>
        <w:ind w:left="4962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</w:t>
      </w:r>
      <w:r w:rsidRPr="000E0F1B">
        <w:rPr>
          <w:sz w:val="16"/>
          <w:szCs w:val="16"/>
          <w:lang w:val="lv-LV"/>
        </w:rPr>
        <w:t>tklāta konkursa</w:t>
      </w:r>
      <w:r>
        <w:rPr>
          <w:sz w:val="16"/>
          <w:szCs w:val="16"/>
          <w:lang w:val="lv-LV"/>
        </w:rPr>
        <w:t xml:space="preserve"> nolikumam</w:t>
      </w:r>
      <w:r w:rsidRPr="000E0F1B">
        <w:rPr>
          <w:sz w:val="16"/>
          <w:szCs w:val="16"/>
          <w:lang w:val="lv-LV"/>
        </w:rPr>
        <w:t xml:space="preserve"> </w:t>
      </w:r>
    </w:p>
    <w:p w:rsidR="00CC3F7D" w:rsidRDefault="00CC3F7D" w:rsidP="00CC3F7D">
      <w:pPr>
        <w:jc w:val="right"/>
        <w:rPr>
          <w:sz w:val="16"/>
          <w:szCs w:val="16"/>
          <w:lang w:val="lv-LV"/>
        </w:rPr>
      </w:pPr>
      <w:r w:rsidRPr="000E0F1B">
        <w:rPr>
          <w:sz w:val="16"/>
          <w:szCs w:val="16"/>
          <w:lang w:val="lv-LV"/>
        </w:rPr>
        <w:t>„</w:t>
      </w:r>
      <w:r>
        <w:rPr>
          <w:sz w:val="16"/>
          <w:szCs w:val="16"/>
          <w:lang w:val="lv-LV"/>
        </w:rPr>
        <w:t xml:space="preserve">Par </w:t>
      </w:r>
      <w:proofErr w:type="spellStart"/>
      <w:r>
        <w:rPr>
          <w:sz w:val="16"/>
          <w:szCs w:val="16"/>
          <w:lang w:val="lv-LV"/>
        </w:rPr>
        <w:t>noslēgarmatūras</w:t>
      </w:r>
      <w:proofErr w:type="spellEnd"/>
      <w:r>
        <w:rPr>
          <w:sz w:val="16"/>
          <w:szCs w:val="16"/>
          <w:lang w:val="lv-LV"/>
        </w:rPr>
        <w:t xml:space="preserve"> un materiālu piegādi”</w:t>
      </w:r>
    </w:p>
    <w:p w:rsidR="00CC3F7D" w:rsidRDefault="00CC3F7D" w:rsidP="00CC3F7D">
      <w:pPr>
        <w:jc w:val="right"/>
        <w:rPr>
          <w:sz w:val="16"/>
          <w:szCs w:val="16"/>
          <w:lang w:val="lv-LV"/>
        </w:rPr>
      </w:pPr>
    </w:p>
    <w:p w:rsidR="00CC3F7D" w:rsidRDefault="00CC3F7D" w:rsidP="00CC3F7D">
      <w:pPr>
        <w:jc w:val="right"/>
        <w:rPr>
          <w:sz w:val="16"/>
          <w:szCs w:val="16"/>
          <w:lang w:val="lv-LV"/>
        </w:rPr>
      </w:pPr>
    </w:p>
    <w:p w:rsidR="00CC3F7D" w:rsidRPr="0052234A" w:rsidRDefault="00CC3F7D" w:rsidP="00CC3F7D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:rsidR="00CC3F7D" w:rsidRPr="0052234A" w:rsidRDefault="00CC3F7D" w:rsidP="00CC3F7D">
      <w:pPr>
        <w:pStyle w:val="Heading5"/>
        <w:jc w:val="center"/>
        <w:rPr>
          <w:b/>
          <w:bCs/>
          <w:sz w:val="22"/>
        </w:rPr>
      </w:pPr>
    </w:p>
    <w:p w:rsidR="00CC3F7D" w:rsidRPr="008C24B3" w:rsidRDefault="00CC3F7D" w:rsidP="00CC3F7D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9</w:t>
      </w:r>
      <w:r w:rsidRPr="008C24B3">
        <w:rPr>
          <w:lang w:val="lv-LV"/>
        </w:rPr>
        <w:t>. gada ____ ______________</w:t>
      </w:r>
    </w:p>
    <w:p w:rsidR="00CC3F7D" w:rsidRPr="008C24B3" w:rsidRDefault="00CC3F7D" w:rsidP="00CC3F7D">
      <w:pPr>
        <w:rPr>
          <w:lang w:val="lv-LV"/>
        </w:rPr>
      </w:pPr>
    </w:p>
    <w:p w:rsidR="00CC3F7D" w:rsidRPr="002906CB" w:rsidRDefault="00CC3F7D" w:rsidP="00CC3F7D">
      <w:pPr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Grid</w:t>
      </w:r>
      <w:proofErr w:type="spellEnd"/>
      <w:r w:rsidRPr="002906CB">
        <w:rPr>
          <w:lang w:val="lv-LV"/>
        </w:rPr>
        <w:t>”</w:t>
      </w:r>
    </w:p>
    <w:p w:rsidR="00CC3F7D" w:rsidRPr="002906CB" w:rsidRDefault="00CC3F7D" w:rsidP="00CC3F7D">
      <w:pPr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r>
        <w:rPr>
          <w:lang w:val="lv-LV"/>
        </w:rPr>
        <w:t>Stigu iela 14</w:t>
      </w:r>
      <w:r w:rsidRPr="002906CB">
        <w:rPr>
          <w:lang w:val="lv-LV"/>
        </w:rPr>
        <w:t>, Rīga, LV-10</w:t>
      </w:r>
      <w:r>
        <w:rPr>
          <w:lang w:val="lv-LV"/>
        </w:rPr>
        <w:t>21</w:t>
      </w:r>
      <w:r w:rsidRPr="002906CB">
        <w:rPr>
          <w:lang w:val="lv-LV"/>
        </w:rPr>
        <w:t>, Latvija</w:t>
      </w:r>
    </w:p>
    <w:p w:rsidR="00CC3F7D" w:rsidRPr="002906CB" w:rsidRDefault="00CC3F7D" w:rsidP="00CC3F7D">
      <w:pPr>
        <w:pStyle w:val="Footer"/>
        <w:rPr>
          <w:sz w:val="24"/>
          <w:szCs w:val="24"/>
        </w:rPr>
      </w:pPr>
    </w:p>
    <w:p w:rsidR="00CC3F7D" w:rsidRPr="002906CB" w:rsidRDefault="00CC3F7D" w:rsidP="00CC3F7D">
      <w:pPr>
        <w:pStyle w:val="Heading1"/>
        <w:jc w:val="left"/>
        <w:rPr>
          <w:rFonts w:ascii="Times New Roman" w:hAnsi="Times New Roman"/>
          <w:bCs/>
          <w:sz w:val="24"/>
          <w:szCs w:val="24"/>
        </w:rPr>
      </w:pPr>
      <w:r w:rsidRPr="002906CB">
        <w:rPr>
          <w:rFonts w:ascii="Times New Roman" w:hAnsi="Times New Roman"/>
          <w:sz w:val="24"/>
          <w:szCs w:val="24"/>
        </w:rPr>
        <w:t xml:space="preserve">Projekts: </w:t>
      </w:r>
      <w:r w:rsidRPr="002906CB">
        <w:rPr>
          <w:rFonts w:ascii="Times New Roman" w:hAnsi="Times New Roman"/>
          <w:sz w:val="24"/>
          <w:szCs w:val="24"/>
        </w:rPr>
        <w:tab/>
        <w:t>Atklāta konkursa „</w:t>
      </w:r>
      <w:r>
        <w:rPr>
          <w:rFonts w:ascii="Times New Roman" w:hAnsi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/>
          <w:sz w:val="24"/>
          <w:szCs w:val="24"/>
        </w:rPr>
        <w:t>noslēgarmatūras</w:t>
      </w:r>
      <w:proofErr w:type="spellEnd"/>
      <w:r>
        <w:rPr>
          <w:rFonts w:ascii="Times New Roman" w:hAnsi="Times New Roman"/>
          <w:sz w:val="24"/>
          <w:szCs w:val="24"/>
        </w:rPr>
        <w:t xml:space="preserve"> un materiālu piegādi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CC3F7D" w:rsidRPr="002906CB" w:rsidRDefault="00CC3F7D" w:rsidP="00CC3F7D">
      <w:pPr>
        <w:ind w:left="1440" w:hanging="1440"/>
        <w:rPr>
          <w:iCs/>
          <w:lang w:val="lv-LV"/>
        </w:rPr>
      </w:pP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Mēs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</w:t>
      </w: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Banka) – </w:t>
      </w:r>
      <w:proofErr w:type="spellStart"/>
      <w:r w:rsidRPr="003C5B85">
        <w:rPr>
          <w:lang w:eastAsia="lv-LV"/>
        </w:rPr>
        <w:t>esam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informēti</w:t>
      </w:r>
      <w:proofErr w:type="spellEnd"/>
      <w:r w:rsidRPr="003C5B85">
        <w:rPr>
          <w:lang w:eastAsia="lv-LV"/>
        </w:rPr>
        <w:t xml:space="preserve"> par to, </w:t>
      </w:r>
      <w:proofErr w:type="spellStart"/>
      <w:r w:rsidRPr="003C5B85">
        <w:rPr>
          <w:lang w:eastAsia="lv-LV"/>
        </w:rPr>
        <w:t>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mūsu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klients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>_______________</w:t>
      </w: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vienotais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 _______________) (</w:t>
      </w:r>
      <w:proofErr w:type="spellStart"/>
      <w:proofErr w:type="gramStart"/>
      <w:r w:rsidRPr="003C5B85">
        <w:rPr>
          <w:lang w:eastAsia="lv-LV"/>
        </w:rPr>
        <w:t>turpmāk</w:t>
      </w:r>
      <w:proofErr w:type="spellEnd"/>
      <w:proofErr w:type="gramEnd"/>
      <w:r w:rsidRPr="003C5B85">
        <w:rPr>
          <w:lang w:eastAsia="lv-LV"/>
        </w:rPr>
        <w:t xml:space="preserve"> –</w:t>
      </w: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savu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Jūsu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proofErr w:type="gramStart"/>
      <w:r w:rsidRPr="003C5B85">
        <w:rPr>
          <w:lang w:eastAsia="lv-LV"/>
        </w:rPr>
        <w:t>nodokļu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):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):</w:t>
      </w: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rīkotajā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iepirkumā</w:t>
      </w:r>
      <w:proofErr w:type="spellEnd"/>
      <w:r w:rsidRPr="003C5B85">
        <w:rPr>
          <w:lang w:eastAsia="lv-LV"/>
        </w:rPr>
        <w:t xml:space="preserve"> „</w:t>
      </w:r>
      <w:r>
        <w:rPr>
          <w:lang w:eastAsia="lv-LV"/>
        </w:rPr>
        <w:t xml:space="preserve">Par </w:t>
      </w:r>
      <w:proofErr w:type="spellStart"/>
      <w:r>
        <w:rPr>
          <w:lang w:eastAsia="lv-LV"/>
        </w:rPr>
        <w:t>noslēgarmatūras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materiālu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piegādi</w:t>
      </w:r>
      <w:proofErr w:type="spellEnd"/>
      <w:r w:rsidRPr="003C5B85">
        <w:rPr>
          <w:lang w:eastAsia="lv-LV"/>
        </w:rPr>
        <w:t>” (</w:t>
      </w:r>
      <w:proofErr w:type="spellStart"/>
      <w:r w:rsidRPr="003C5B85">
        <w:rPr>
          <w:lang w:eastAsia="lv-LV"/>
        </w:rPr>
        <w:t>iepirkuma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</w:t>
      </w:r>
      <w:r>
        <w:rPr>
          <w:lang w:eastAsia="lv-LV"/>
        </w:rPr>
        <w:t>PRO-2019/248</w:t>
      </w:r>
      <w:r w:rsidRPr="003C5B85">
        <w:rPr>
          <w:lang w:eastAsia="lv-LV"/>
        </w:rPr>
        <w:t>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Iepirkums</w:t>
      </w:r>
      <w:proofErr w:type="spellEnd"/>
      <w:r w:rsidRPr="003C5B85">
        <w:rPr>
          <w:lang w:eastAsia="lv-LV"/>
        </w:rPr>
        <w:t xml:space="preserve">).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attiecīgā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Pretendentam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jāiesniedz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proofErr w:type="gramStart"/>
      <w:r w:rsidRPr="003C5B85">
        <w:rPr>
          <w:lang w:eastAsia="lv-LV"/>
        </w:rPr>
        <w:t>sav</w:t>
      </w:r>
      <w:r>
        <w:rPr>
          <w:lang w:eastAsia="lv-LV"/>
        </w:rPr>
        <w:t>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nodrošinājums</w:t>
      </w:r>
      <w:proofErr w:type="spellEnd"/>
      <w:r w:rsidRPr="003C5B85">
        <w:rPr>
          <w:lang w:eastAsia="lv-LV"/>
        </w:rPr>
        <w:t>.</w:t>
      </w:r>
    </w:p>
    <w:p w:rsidR="00CC3F7D" w:rsidRPr="003C5B85" w:rsidRDefault="00CC3F7D" w:rsidP="00CC3F7D">
      <w:pPr>
        <w:autoSpaceDE w:val="0"/>
        <w:autoSpaceDN w:val="0"/>
        <w:adjustRightInd w:val="0"/>
        <w:ind w:firstLine="42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Ņemot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vērā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iepriekš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minēto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šo</w:t>
      </w:r>
      <w:proofErr w:type="spellEnd"/>
      <w:r w:rsidRPr="003C5B85">
        <w:rPr>
          <w:lang w:eastAsia="lv-LV"/>
        </w:rPr>
        <w:t xml:space="preserve"> Banka </w:t>
      </w:r>
      <w:proofErr w:type="spellStart"/>
      <w:r w:rsidRPr="003C5B85">
        <w:rPr>
          <w:lang w:eastAsia="lv-LV"/>
        </w:rPr>
        <w:t>neatsaucami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uzņemas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pienākumu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samaksāt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jebkuru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naudas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summu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nepārsniedzot</w:t>
      </w:r>
      <w:proofErr w:type="spellEnd"/>
      <w:r w:rsidRPr="003C5B85">
        <w:rPr>
          <w:lang w:eastAsia="lv-LV"/>
        </w:rPr>
        <w:t xml:space="preserve"> [</w:t>
      </w:r>
      <w:r>
        <w:rPr>
          <w:lang w:eastAsia="lv-LV"/>
        </w:rPr>
        <w:t>EUR</w:t>
      </w:r>
      <w:r w:rsidRPr="003C5B85">
        <w:rPr>
          <w:lang w:eastAsia="lv-LV"/>
        </w:rPr>
        <w:t xml:space="preserve">]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 xml:space="preserve">(_______________),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ja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ievērojot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noteiktās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prasības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atbilstošs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dokuments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),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kuru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šīs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pamata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kurā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norādīts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attiecībā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vismaz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viens</w:t>
      </w:r>
      <w:proofErr w:type="spellEnd"/>
      <w:r w:rsidRPr="003C5B85">
        <w:rPr>
          <w:lang w:eastAsia="lv-LV"/>
        </w:rPr>
        <w:t xml:space="preserve"> no </w:t>
      </w:r>
      <w:proofErr w:type="spellStart"/>
      <w:r w:rsidRPr="003C5B85">
        <w:rPr>
          <w:lang w:eastAsia="lv-LV"/>
        </w:rPr>
        <w:t>šādiem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nosacījumiem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norādot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konkrēto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>):</w:t>
      </w:r>
    </w:p>
    <w:p w:rsidR="00CC3F7D" w:rsidRPr="003C5B85" w:rsidRDefault="00CC3F7D" w:rsidP="00CC3F7D">
      <w:pPr>
        <w:jc w:val="both"/>
        <w:rPr>
          <w:b/>
        </w:rPr>
      </w:pPr>
      <w:r w:rsidRPr="003C5B85">
        <w:t xml:space="preserve"> </w:t>
      </w:r>
    </w:p>
    <w:p w:rsidR="00CC3F7D" w:rsidRPr="003C5B85" w:rsidRDefault="00CC3F7D" w:rsidP="00CC3F7D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atsauc</w:t>
      </w:r>
      <w:proofErr w:type="spellEnd"/>
      <w:r w:rsidRPr="003C5B85">
        <w:t xml:space="preserve"> </w:t>
      </w:r>
      <w:proofErr w:type="spellStart"/>
      <w:r w:rsidRPr="003C5B85">
        <w:t>savu</w:t>
      </w:r>
      <w:proofErr w:type="spellEnd"/>
      <w:r w:rsidRPr="003C5B85">
        <w:t xml:space="preserve"> </w:t>
      </w:r>
      <w:proofErr w:type="spellStart"/>
      <w:r w:rsidRPr="003C5B85">
        <w:t>piedāvājumu</w:t>
      </w:r>
      <w:proofErr w:type="spellEnd"/>
      <w:r w:rsidRPr="003C5B85">
        <w:t xml:space="preserve">, </w:t>
      </w:r>
      <w:proofErr w:type="spellStart"/>
      <w:r w:rsidRPr="003C5B85">
        <w:t>kamēr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spēkā</w:t>
      </w:r>
      <w:proofErr w:type="spellEnd"/>
      <w:r w:rsidRPr="003C5B85">
        <w:t xml:space="preserve"> </w:t>
      </w: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>;</w:t>
      </w:r>
    </w:p>
    <w:p w:rsidR="00CC3F7D" w:rsidRPr="003C5B85" w:rsidRDefault="00CC3F7D" w:rsidP="00CC3F7D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sniedzis</w:t>
      </w:r>
      <w:proofErr w:type="spellEnd"/>
      <w:r w:rsidRPr="003C5B85">
        <w:t xml:space="preserve">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komisijai</w:t>
      </w:r>
      <w:proofErr w:type="spellEnd"/>
      <w:r w:rsidRPr="003C5B85">
        <w:t xml:space="preserve"> </w:t>
      </w:r>
      <w:proofErr w:type="spellStart"/>
      <w:r w:rsidRPr="003C5B85">
        <w:t>nepatiesu</w:t>
      </w:r>
      <w:proofErr w:type="spellEnd"/>
      <w:r w:rsidRPr="003C5B85">
        <w:t xml:space="preserve"> </w:t>
      </w:r>
      <w:proofErr w:type="spellStart"/>
      <w:r w:rsidRPr="003C5B85">
        <w:t>vai</w:t>
      </w:r>
      <w:proofErr w:type="spellEnd"/>
      <w:r w:rsidRPr="003C5B85">
        <w:t xml:space="preserve"> </w:t>
      </w:r>
      <w:proofErr w:type="spellStart"/>
      <w:r w:rsidRPr="003C5B85">
        <w:t>maldinošu</w:t>
      </w:r>
      <w:proofErr w:type="spellEnd"/>
      <w:r w:rsidRPr="003C5B85">
        <w:t xml:space="preserve"> </w:t>
      </w:r>
      <w:proofErr w:type="spellStart"/>
      <w:r w:rsidRPr="003C5B85">
        <w:t>informāciju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ļauj</w:t>
      </w:r>
      <w:proofErr w:type="spellEnd"/>
      <w:r w:rsidRPr="003C5B85">
        <w:t xml:space="preserve"> </w:t>
      </w:r>
      <w:proofErr w:type="spellStart"/>
      <w:r w:rsidRPr="003C5B85">
        <w:t>kvalificēties</w:t>
      </w:r>
      <w:proofErr w:type="spellEnd"/>
      <w:r w:rsidRPr="003C5B85">
        <w:t xml:space="preserve"> </w:t>
      </w:r>
      <w:proofErr w:type="spellStart"/>
      <w:r w:rsidRPr="003C5B85">
        <w:t>darbu</w:t>
      </w:r>
      <w:proofErr w:type="spellEnd"/>
      <w:r w:rsidRPr="003C5B85">
        <w:t xml:space="preserve"> </w:t>
      </w:r>
      <w:proofErr w:type="spellStart"/>
      <w:r w:rsidRPr="003C5B85">
        <w:t>izpildei</w:t>
      </w:r>
      <w:proofErr w:type="spellEnd"/>
      <w:r w:rsidRPr="003C5B85">
        <w:t>;</w:t>
      </w:r>
    </w:p>
    <w:p w:rsidR="00CC3F7D" w:rsidRPr="003C5B85" w:rsidRDefault="00CC3F7D" w:rsidP="00CC3F7D">
      <w:pPr>
        <w:numPr>
          <w:ilvl w:val="0"/>
          <w:numId w:val="1"/>
        </w:numPr>
        <w:jc w:val="both"/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kura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izraudzīts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izvēles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kritēriju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Pasūtītāja</w:t>
      </w:r>
      <w:proofErr w:type="spellEnd"/>
      <w:r>
        <w:t xml:space="preserve"> </w:t>
      </w:r>
      <w:proofErr w:type="spellStart"/>
      <w:r w:rsidRPr="003C5B85">
        <w:rPr>
          <w:lang w:eastAsia="lv-LV"/>
        </w:rPr>
        <w:t>noteiktajā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termiņā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nav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dokumentos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81000B">
        <w:rPr>
          <w:lang w:eastAsia="lv-LV"/>
        </w:rPr>
        <w:t>iepirkuma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līgumā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paredzēto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nodrošinājumu</w:t>
      </w:r>
      <w:proofErr w:type="spellEnd"/>
      <w:r w:rsidRPr="0081000B">
        <w:rPr>
          <w:lang w:eastAsia="lv-LV"/>
        </w:rPr>
        <w:t>(</w:t>
      </w:r>
      <w:proofErr w:type="spellStart"/>
      <w:r w:rsidRPr="0081000B">
        <w:rPr>
          <w:lang w:eastAsia="lv-LV"/>
        </w:rPr>
        <w:t>ja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avanss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tiek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pieprasīts</w:t>
      </w:r>
      <w:proofErr w:type="spellEnd"/>
      <w:r w:rsidRPr="0081000B">
        <w:rPr>
          <w:lang w:eastAsia="lv-LV"/>
        </w:rPr>
        <w:t>);</w:t>
      </w:r>
    </w:p>
    <w:p w:rsidR="00CC3F7D" w:rsidRPr="003C5B85" w:rsidRDefault="00CC3F7D" w:rsidP="00CC3F7D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, </w:t>
      </w:r>
      <w:proofErr w:type="spellStart"/>
      <w:r w:rsidRPr="003C5B85">
        <w:t>kurš</w:t>
      </w:r>
      <w:proofErr w:type="spellEnd"/>
      <w:r w:rsidRPr="003C5B85">
        <w:t xml:space="preserve"> </w:t>
      </w:r>
      <w:proofErr w:type="spellStart"/>
      <w:r w:rsidRPr="003C5B85">
        <w:t>atzīts</w:t>
      </w:r>
      <w:proofErr w:type="spellEnd"/>
      <w:r w:rsidRPr="003C5B85">
        <w:t xml:space="preserve"> par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uzvarētāju</w:t>
      </w:r>
      <w:proofErr w:type="spellEnd"/>
      <w:r w:rsidRPr="003C5B85">
        <w:t xml:space="preserve">, </w:t>
      </w:r>
      <w:proofErr w:type="spellStart"/>
      <w:r w:rsidRPr="003C5B85">
        <w:t>Pasūtītāja</w:t>
      </w:r>
      <w:proofErr w:type="spellEnd"/>
      <w:r w:rsidRPr="003C5B85">
        <w:t xml:space="preserve"> </w:t>
      </w:r>
      <w:proofErr w:type="spellStart"/>
      <w:r w:rsidRPr="003C5B85">
        <w:t>noteiktajā</w:t>
      </w:r>
      <w:proofErr w:type="spellEnd"/>
      <w:r w:rsidRPr="003C5B85">
        <w:t xml:space="preserve"> </w:t>
      </w:r>
      <w:proofErr w:type="spellStart"/>
      <w:r w:rsidRPr="003C5B85">
        <w:t>termiņā</w:t>
      </w:r>
      <w:proofErr w:type="spellEnd"/>
      <w:r w:rsidRPr="003C5B85">
        <w:t xml:space="preserve"> </w:t>
      </w:r>
      <w:proofErr w:type="spellStart"/>
      <w:r w:rsidRPr="003C5B85">
        <w:t>neparaksta</w:t>
      </w:r>
      <w:proofErr w:type="spellEnd"/>
      <w:r w:rsidRPr="003C5B85">
        <w:t xml:space="preserve"> </w:t>
      </w:r>
      <w:proofErr w:type="spellStart"/>
      <w:r w:rsidRPr="003C5B85">
        <w:t>iepirkuma</w:t>
      </w:r>
      <w:proofErr w:type="spellEnd"/>
      <w:r w:rsidRPr="003C5B85">
        <w:t xml:space="preserve"> </w:t>
      </w:r>
      <w:proofErr w:type="spellStart"/>
      <w:r w:rsidRPr="003C5B85">
        <w:t>līgumu</w:t>
      </w:r>
      <w:proofErr w:type="spellEnd"/>
      <w:r w:rsidRPr="003C5B85">
        <w:t>.</w:t>
      </w:r>
    </w:p>
    <w:p w:rsidR="00CC3F7D" w:rsidRPr="003C5B85" w:rsidRDefault="00CC3F7D" w:rsidP="00CC3F7D">
      <w:pPr>
        <w:jc w:val="both"/>
      </w:pP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papīra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formā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.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veicama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autentificēta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ziņojuma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veidā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izmantojot</w:t>
      </w:r>
      <w:proofErr w:type="spellEnd"/>
      <w:r w:rsidRPr="003C5B85">
        <w:rPr>
          <w:lang w:eastAsia="lv-LV"/>
        </w:rPr>
        <w:t xml:space="preserve"> SWIFT.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nolūkā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apliecināmi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notariāli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Piegādātāju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apkalpojošās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kredītiestādes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starpniecību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kura</w:t>
      </w:r>
      <w:proofErr w:type="spellEnd"/>
      <w:proofErr w:type="gram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identitāti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tiesības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vārdā</w:t>
      </w:r>
      <w:proofErr w:type="spellEnd"/>
      <w:r w:rsidRPr="003C5B85">
        <w:rPr>
          <w:lang w:eastAsia="lv-LV"/>
        </w:rPr>
        <w:t>.</w:t>
      </w:r>
    </w:p>
    <w:p w:rsidR="00CC3F7D" w:rsidRPr="003C5B85" w:rsidRDefault="00CC3F7D" w:rsidP="00CC3F7D">
      <w:pPr>
        <w:rPr>
          <w:lang w:eastAsia="lv-LV"/>
        </w:rPr>
      </w:pPr>
    </w:p>
    <w:p w:rsidR="00CC3F7D" w:rsidRPr="003C5B85" w:rsidRDefault="00CC3F7D" w:rsidP="00CC3F7D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Šī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spēkā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līdz</w:t>
      </w:r>
      <w:proofErr w:type="spellEnd"/>
      <w:r w:rsidRPr="003C5B85">
        <w:rPr>
          <w:lang w:eastAsia="lv-LV"/>
        </w:rPr>
        <w:t xml:space="preserve"> </w:t>
      </w:r>
      <w:r>
        <w:rPr>
          <w:lang w:eastAsia="lv-LV"/>
        </w:rPr>
        <w:t>(</w:t>
      </w:r>
      <w:proofErr w:type="spellStart"/>
      <w:r>
        <w:rPr>
          <w:lang w:eastAsia="lv-LV"/>
        </w:rPr>
        <w:t>saskaņā</w:t>
      </w:r>
      <w:proofErr w:type="spellEnd"/>
      <w:r>
        <w:rPr>
          <w:lang w:eastAsia="lv-LV"/>
        </w:rPr>
        <w:t xml:space="preserve"> </w:t>
      </w:r>
      <w:proofErr w:type="spellStart"/>
      <w:r w:rsidRPr="00420965">
        <w:rPr>
          <w:lang w:eastAsia="lv-LV"/>
        </w:rPr>
        <w:t>ar</w:t>
      </w:r>
      <w:proofErr w:type="spellEnd"/>
      <w:r w:rsidRPr="00420965">
        <w:rPr>
          <w:lang w:eastAsia="lv-LV"/>
        </w:rPr>
        <w:t xml:space="preserve"> </w:t>
      </w:r>
      <w:proofErr w:type="spellStart"/>
      <w:r w:rsidRPr="00151A34">
        <w:rPr>
          <w:lang w:eastAsia="lv-LV"/>
        </w:rPr>
        <w:t>nolikuma</w:t>
      </w:r>
      <w:proofErr w:type="spellEnd"/>
      <w:r w:rsidRPr="00151A34">
        <w:rPr>
          <w:lang w:eastAsia="lv-LV"/>
        </w:rPr>
        <w:t xml:space="preserve"> 8.1.punktu) 20</w:t>
      </w:r>
      <w:r>
        <w:rPr>
          <w:lang w:eastAsia="lv-LV"/>
        </w:rPr>
        <w:t>__</w:t>
      </w:r>
      <w:r w:rsidRPr="003C5B85">
        <w:rPr>
          <w:lang w:eastAsia="lv-LV"/>
        </w:rPr>
        <w:t xml:space="preserve">. </w:t>
      </w:r>
      <w:proofErr w:type="spellStart"/>
      <w:proofErr w:type="gramStart"/>
      <w:r w:rsidRPr="003C5B85">
        <w:rPr>
          <w:lang w:eastAsia="lv-LV"/>
        </w:rPr>
        <w:t>gada</w:t>
      </w:r>
      <w:proofErr w:type="spellEnd"/>
      <w:proofErr w:type="gramEnd"/>
      <w:r w:rsidRPr="003C5B85">
        <w:rPr>
          <w:lang w:eastAsia="lv-LV"/>
        </w:rPr>
        <w:t xml:space="preserve"> ___. _______________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datums</w:t>
      </w:r>
      <w:proofErr w:type="spellEnd"/>
      <w:r w:rsidRPr="003C5B85">
        <w:rPr>
          <w:lang w:eastAsia="lv-LV"/>
        </w:rPr>
        <w:t xml:space="preserve">). </w:t>
      </w:r>
      <w:proofErr w:type="spellStart"/>
      <w:r w:rsidRPr="003C5B85">
        <w:rPr>
          <w:lang w:eastAsia="lv-LV"/>
        </w:rPr>
        <w:t>Bankai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jāsaņem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ne </w:t>
      </w:r>
      <w:proofErr w:type="spellStart"/>
      <w:r w:rsidRPr="003C5B85">
        <w:rPr>
          <w:lang w:eastAsia="lv-LV"/>
        </w:rPr>
        <w:t>vēlāk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Bankā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: _______________)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proofErr w:type="gramStart"/>
      <w:r w:rsidRPr="003C5B85">
        <w:rPr>
          <w:lang w:eastAsia="lv-LV"/>
        </w:rPr>
        <w:t>ja</w:t>
      </w:r>
      <w:proofErr w:type="spellEnd"/>
      <w:proofErr w:type="gram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tiek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>, – _______________ (</w:t>
      </w:r>
      <w:proofErr w:type="spellStart"/>
      <w:r w:rsidRPr="003C5B85">
        <w:rPr>
          <w:lang w:eastAsia="lv-LV"/>
        </w:rPr>
        <w:t>Bankas</w:t>
      </w:r>
      <w:proofErr w:type="spellEnd"/>
      <w:r w:rsidRPr="003C5B85">
        <w:rPr>
          <w:lang w:eastAsia="lv-LV"/>
        </w:rPr>
        <w:t xml:space="preserve"> SWIFT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).</w:t>
      </w:r>
    </w:p>
    <w:p w:rsidR="00CC3F7D" w:rsidRPr="003C5B85" w:rsidRDefault="00CC3F7D" w:rsidP="00CC3F7D"/>
    <w:p w:rsidR="00CC3F7D" w:rsidRPr="00420965" w:rsidRDefault="00CC3F7D" w:rsidP="00CC3F7D">
      <w:pPr>
        <w:jc w:val="both"/>
        <w:rPr>
          <w:i/>
          <w:iCs/>
        </w:rPr>
      </w:pP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pakļauta</w:t>
      </w:r>
      <w:proofErr w:type="spellEnd"/>
      <w:r w:rsidRPr="003C5B85">
        <w:t xml:space="preserve"> </w:t>
      </w:r>
      <w:proofErr w:type="spellStart"/>
      <w:r w:rsidRPr="003C5B85">
        <w:t>Vienotajiem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noteikumiem</w:t>
      </w:r>
      <w:proofErr w:type="spellEnd"/>
      <w:r w:rsidRPr="003C5B85">
        <w:t xml:space="preserve"> (</w:t>
      </w:r>
      <w:r w:rsidRPr="003C5B85">
        <w:rPr>
          <w:i/>
          <w:iCs/>
        </w:rPr>
        <w:t>the Uniform Rules for</w:t>
      </w:r>
      <w:r>
        <w:rPr>
          <w:i/>
          <w:iCs/>
        </w:rPr>
        <w:t xml:space="preserve"> </w:t>
      </w:r>
      <w:r w:rsidRPr="003C5B85">
        <w:rPr>
          <w:i/>
          <w:iCs/>
        </w:rPr>
        <w:t>Demand Guarantees</w:t>
      </w:r>
      <w:r w:rsidRPr="003C5B85">
        <w:t xml:space="preserve">) (2010.gada </w:t>
      </w:r>
      <w:proofErr w:type="spellStart"/>
      <w:r w:rsidRPr="003C5B85">
        <w:t>redakcija</w:t>
      </w:r>
      <w:proofErr w:type="spellEnd"/>
      <w:r w:rsidRPr="003C5B85">
        <w:t xml:space="preserve">, </w:t>
      </w:r>
      <w:proofErr w:type="spellStart"/>
      <w:r w:rsidRPr="003C5B85">
        <w:t>Starptautiskās</w:t>
      </w:r>
      <w:proofErr w:type="spellEnd"/>
      <w:r w:rsidRPr="003C5B85">
        <w:t xml:space="preserve"> </w:t>
      </w:r>
      <w:proofErr w:type="spellStart"/>
      <w:r w:rsidRPr="003C5B85">
        <w:t>Tirdzniecības</w:t>
      </w:r>
      <w:proofErr w:type="spellEnd"/>
      <w:r w:rsidRPr="003C5B85">
        <w:t xml:space="preserve"> </w:t>
      </w:r>
      <w:proofErr w:type="spellStart"/>
      <w:r w:rsidRPr="003C5B85">
        <w:t>palātas</w:t>
      </w:r>
      <w:proofErr w:type="spellEnd"/>
      <w:r w:rsidRPr="003C5B85">
        <w:t xml:space="preserve"> </w:t>
      </w:r>
      <w:proofErr w:type="spellStart"/>
      <w:r w:rsidRPr="003C5B85">
        <w:t>publikācija</w:t>
      </w:r>
      <w:proofErr w:type="spellEnd"/>
      <w:r w:rsidRPr="003C5B85">
        <w:t xml:space="preserve"> Nr.758). </w:t>
      </w:r>
      <w:proofErr w:type="spellStart"/>
      <w:r w:rsidRPr="003C5B85">
        <w:t>Šai</w:t>
      </w:r>
      <w:proofErr w:type="spellEnd"/>
      <w:r w:rsidRPr="003C5B85">
        <w:t xml:space="preserve"> </w:t>
      </w:r>
      <w:proofErr w:type="spellStart"/>
      <w:r w:rsidRPr="003C5B85">
        <w:t>garantijai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to </w:t>
      </w:r>
      <w:proofErr w:type="spellStart"/>
      <w:r w:rsidRPr="003C5B85">
        <w:t>saistītajām</w:t>
      </w:r>
      <w:proofErr w:type="spellEnd"/>
      <w:r w:rsidRPr="003C5B85">
        <w:t xml:space="preserve"> </w:t>
      </w:r>
      <w:proofErr w:type="spellStart"/>
      <w:r w:rsidRPr="003C5B85">
        <w:t>tiesiskajām</w:t>
      </w:r>
      <w:proofErr w:type="spellEnd"/>
      <w:r w:rsidRPr="003C5B85">
        <w:t xml:space="preserve"> </w:t>
      </w:r>
      <w:proofErr w:type="spellStart"/>
      <w:r w:rsidRPr="003C5B85">
        <w:t>attiecībām</w:t>
      </w:r>
      <w:proofErr w:type="spellEnd"/>
      <w:r w:rsidRPr="003C5B85">
        <w:t xml:space="preserve">, </w:t>
      </w:r>
      <w:proofErr w:type="spellStart"/>
      <w:r w:rsidRPr="003C5B85">
        <w:t>ciktāl</w:t>
      </w:r>
      <w:proofErr w:type="spellEnd"/>
      <w:r w:rsidRPr="003C5B85">
        <w:t xml:space="preserve"> </w:t>
      </w:r>
      <w:proofErr w:type="spellStart"/>
      <w:r w:rsidRPr="003C5B85">
        <w:t>attiecīgos</w:t>
      </w:r>
      <w:proofErr w:type="spellEnd"/>
      <w:r w:rsidRPr="003C5B85">
        <w:t xml:space="preserve"> </w:t>
      </w:r>
      <w:proofErr w:type="spellStart"/>
      <w:r w:rsidRPr="003C5B85">
        <w:t>jautājumus</w:t>
      </w:r>
      <w:proofErr w:type="spellEnd"/>
      <w:r w:rsidRPr="003C5B85">
        <w:t xml:space="preserve"> </w:t>
      </w:r>
      <w:proofErr w:type="spellStart"/>
      <w:r w:rsidRPr="003C5B85">
        <w:t>neregulē</w:t>
      </w:r>
      <w:proofErr w:type="spellEnd"/>
      <w:r w:rsidRPr="003C5B85">
        <w:t xml:space="preserve"> </w:t>
      </w:r>
      <w:proofErr w:type="spellStart"/>
      <w:r w:rsidRPr="003C5B85">
        <w:t>minētie</w:t>
      </w:r>
      <w:proofErr w:type="spellEnd"/>
      <w:r w:rsidRPr="003C5B85">
        <w:t xml:space="preserve"> </w:t>
      </w:r>
      <w:proofErr w:type="spellStart"/>
      <w:r w:rsidRPr="003C5B85">
        <w:t>Vienotie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lastRenderedPageBreak/>
        <w:t>garantiju</w:t>
      </w:r>
      <w:proofErr w:type="spellEnd"/>
      <w:r w:rsidRPr="003C5B85">
        <w:t xml:space="preserve"> </w:t>
      </w:r>
      <w:proofErr w:type="spellStart"/>
      <w:r w:rsidRPr="003C5B85">
        <w:t>noteikumi</w:t>
      </w:r>
      <w:proofErr w:type="spellEnd"/>
      <w:r w:rsidRPr="003C5B85">
        <w:t xml:space="preserve">, </w:t>
      </w:r>
      <w:proofErr w:type="spellStart"/>
      <w:r w:rsidRPr="003C5B85">
        <w:t>piemērojami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normatīvie</w:t>
      </w:r>
      <w:proofErr w:type="spellEnd"/>
      <w:r w:rsidRPr="003C5B85">
        <w:t xml:space="preserve"> </w:t>
      </w:r>
      <w:proofErr w:type="spellStart"/>
      <w:r w:rsidRPr="003C5B85">
        <w:t>akti</w:t>
      </w:r>
      <w:proofErr w:type="spellEnd"/>
      <w:r w:rsidRPr="003C5B85">
        <w:t xml:space="preserve">. </w:t>
      </w:r>
      <w:proofErr w:type="spellStart"/>
      <w:r w:rsidRPr="003C5B85">
        <w:t>Jebkurš</w:t>
      </w:r>
      <w:proofErr w:type="spellEnd"/>
      <w:r w:rsidRPr="003C5B85">
        <w:t xml:space="preserve"> </w:t>
      </w:r>
      <w:proofErr w:type="spellStart"/>
      <w:r w:rsidRPr="003C5B85">
        <w:t>strīds</w:t>
      </w:r>
      <w:proofErr w:type="spellEnd"/>
      <w:r w:rsidRPr="003C5B85">
        <w:t xml:space="preserve">, </w:t>
      </w:r>
      <w:proofErr w:type="spellStart"/>
      <w:r w:rsidRPr="003C5B85">
        <w:t>kas</w:t>
      </w:r>
      <w:proofErr w:type="spellEnd"/>
      <w:r w:rsidRPr="003C5B85">
        <w:t xml:space="preserve"> </w:t>
      </w:r>
      <w:proofErr w:type="spellStart"/>
      <w:r w:rsidRPr="003C5B85">
        <w:t>rodas</w:t>
      </w:r>
      <w:proofErr w:type="spellEnd"/>
      <w:r w:rsidRPr="003C5B85">
        <w:t xml:space="preserve"> </w:t>
      </w:r>
      <w:proofErr w:type="spellStart"/>
      <w:r w:rsidRPr="003C5B85">
        <w:t>starp</w:t>
      </w:r>
      <w:proofErr w:type="spellEnd"/>
      <w:r w:rsidRPr="003C5B85">
        <w:t xml:space="preserve"> </w:t>
      </w:r>
      <w:proofErr w:type="spellStart"/>
      <w:r w:rsidRPr="003C5B85">
        <w:t>Banku</w:t>
      </w:r>
      <w:proofErr w:type="spellEnd"/>
      <w:r w:rsidRPr="003C5B85">
        <w:t xml:space="preserve"> </w:t>
      </w:r>
      <w:proofErr w:type="gramStart"/>
      <w:r w:rsidRPr="003C5B85">
        <w:t>un</w:t>
      </w:r>
      <w:proofErr w:type="gramEnd"/>
      <w:r w:rsidRPr="003C5B85">
        <w:t xml:space="preserve"> </w:t>
      </w:r>
      <w:proofErr w:type="spellStart"/>
      <w:r w:rsidRPr="003C5B85">
        <w:t>Pasūtītāju</w:t>
      </w:r>
      <w:proofErr w:type="spellEnd"/>
      <w:r w:rsidRPr="003C5B85">
        <w:t xml:space="preserve"> </w:t>
      </w:r>
      <w:proofErr w:type="spellStart"/>
      <w:r w:rsidRPr="003C5B85">
        <w:t>saistībā</w:t>
      </w:r>
      <w:proofErr w:type="spell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</w:t>
      </w:r>
      <w:proofErr w:type="spellStart"/>
      <w:r w:rsidRPr="003C5B85">
        <w:t>šo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, </w:t>
      </w:r>
      <w:proofErr w:type="spellStart"/>
      <w:r w:rsidRPr="003C5B85">
        <w:t>izšķirams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tiesā</w:t>
      </w:r>
      <w:proofErr w:type="spellEnd"/>
      <w:r w:rsidRPr="003C5B85">
        <w:t>.</w:t>
      </w:r>
    </w:p>
    <w:p w:rsidR="00CC3F7D" w:rsidRPr="003C5B85" w:rsidRDefault="00CC3F7D" w:rsidP="00CC3F7D">
      <w:pPr>
        <w:jc w:val="both"/>
      </w:pPr>
    </w:p>
    <w:p w:rsidR="00CC3F7D" w:rsidRPr="003C5B85" w:rsidRDefault="00CC3F7D" w:rsidP="00CC3F7D">
      <w:pPr>
        <w:jc w:val="both"/>
      </w:pPr>
      <w:r w:rsidRPr="003C5B85">
        <w:t>_____________________</w:t>
      </w:r>
      <w:proofErr w:type="gramStart"/>
      <w:r w:rsidRPr="003C5B85">
        <w:t>_  (</w:t>
      </w:r>
      <w:proofErr w:type="spellStart"/>
      <w:proofErr w:type="gramEnd"/>
      <w:r w:rsidRPr="003C5B85">
        <w:t>Bankas</w:t>
      </w:r>
      <w:proofErr w:type="spellEnd"/>
      <w:r w:rsidRPr="003C5B85">
        <w:t xml:space="preserve"> </w:t>
      </w:r>
      <w:proofErr w:type="spellStart"/>
      <w:r w:rsidRPr="003C5B85">
        <w:t>pārstāvja</w:t>
      </w:r>
      <w:proofErr w:type="spellEnd"/>
      <w:r w:rsidRPr="003C5B85">
        <w:t xml:space="preserve"> </w:t>
      </w:r>
      <w:proofErr w:type="spellStart"/>
      <w:r w:rsidRPr="003C5B85">
        <w:t>vārds</w:t>
      </w:r>
      <w:proofErr w:type="spellEnd"/>
      <w:r w:rsidRPr="003C5B85">
        <w:t xml:space="preserve">, </w:t>
      </w:r>
      <w:proofErr w:type="spellStart"/>
      <w:r w:rsidRPr="003C5B85">
        <w:t>uzvārds</w:t>
      </w:r>
      <w:proofErr w:type="spellEnd"/>
      <w:r w:rsidRPr="003C5B85">
        <w:t xml:space="preserve">, </w:t>
      </w:r>
      <w:proofErr w:type="spellStart"/>
      <w:r w:rsidRPr="003C5B85">
        <w:t>paraksts</w:t>
      </w:r>
      <w:proofErr w:type="spellEnd"/>
      <w:r w:rsidRPr="003C5B85">
        <w:t xml:space="preserve">) </w:t>
      </w:r>
    </w:p>
    <w:p w:rsidR="00CC3F7D" w:rsidRPr="004F7E9A" w:rsidRDefault="00CC3F7D" w:rsidP="00CC3F7D">
      <w:pPr>
        <w:jc w:val="right"/>
        <w:rPr>
          <w:b/>
        </w:rPr>
      </w:pPr>
    </w:p>
    <w:p w:rsidR="00CC3F7D" w:rsidRDefault="00CC3F7D" w:rsidP="00CC3F7D">
      <w:pPr>
        <w:rPr>
          <w:b/>
          <w:lang w:val="lv-LV"/>
        </w:rPr>
      </w:pPr>
    </w:p>
    <w:p w:rsidR="00CC3F7D" w:rsidRDefault="00CC3F7D" w:rsidP="00CC3F7D">
      <w:pPr>
        <w:rPr>
          <w:b/>
          <w:lang w:val="lv-LV"/>
        </w:rPr>
      </w:pPr>
    </w:p>
    <w:p w:rsidR="005259CF" w:rsidRPr="00CC3F7D" w:rsidRDefault="005259CF" w:rsidP="00CC3F7D">
      <w:pPr>
        <w:rPr>
          <w:lang w:val="lv-LV"/>
        </w:rPr>
      </w:pPr>
    </w:p>
    <w:sectPr w:rsidR="005259CF" w:rsidRPr="00CC3F7D" w:rsidSect="001C2408">
      <w:pgSz w:w="11906" w:h="16838"/>
      <w:pgMar w:top="851" w:right="794" w:bottom="1588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63" w:rsidRDefault="001C04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055C63" w:rsidRDefault="001C045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63" w:rsidRDefault="001C04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5C63" w:rsidRDefault="001C04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63" w:rsidRDefault="001C045B">
    <w:pPr>
      <w:pStyle w:val="Header"/>
      <w:ind w:right="360"/>
      <w:rPr>
        <w:i/>
        <w:sz w:val="20"/>
      </w:rPr>
    </w:pPr>
  </w:p>
  <w:p w:rsidR="00055C63" w:rsidRDefault="001C0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7D"/>
    <w:rsid w:val="001C045B"/>
    <w:rsid w:val="005259CF"/>
    <w:rsid w:val="00C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4D7E9-FDA7-408D-94B3-201E922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F7D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F7D"/>
    <w:pPr>
      <w:keepNext/>
      <w:outlineLvl w:val="4"/>
    </w:pPr>
    <w:rPr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CC3F7D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F7D"/>
    <w:rPr>
      <w:rFonts w:ascii="Arial" w:eastAsia="Times New Roman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C3F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C3F7D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CC3F7D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CC3F7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CC3F7D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CC3F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C3F7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C3F7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3F7D"/>
  </w:style>
  <w:style w:type="paragraph" w:styleId="Subtitle">
    <w:name w:val="Subtitle"/>
    <w:basedOn w:val="Normal"/>
    <w:link w:val="SubtitleChar"/>
    <w:qFormat/>
    <w:rsid w:val="00CC3F7D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CC3F7D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16065</Words>
  <Characters>9158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2</cp:revision>
  <dcterms:created xsi:type="dcterms:W3CDTF">2019-10-04T09:26:00Z</dcterms:created>
  <dcterms:modified xsi:type="dcterms:W3CDTF">2019-10-04T09:30:00Z</dcterms:modified>
</cp:coreProperties>
</file>